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4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Current Report Pursuant to Section 13 or 15(d) of</w:t>
            </w:r>
          </w:p>
        </w:tc>
        <w:tc>
          <w:tcPr>
            <w:tcW w:w="294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the Securities Exchange Act of 1934</w:t>
            </w:r>
          </w:p>
        </w:tc>
        <w:tc>
          <w:tcPr>
            <w:tcW w:w="294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294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October 28, 2026</w:t>
            </w:r>
          </w:p>
        </w:tc>
        <w:tc>
          <w:tcPr>
            <w:tcW w:w="294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OXFORD SQUARE CAPITAL CORP.</w:t>
            </w:r>
          </w:p>
        </w:tc>
        <w:tc>
          <w:tcPr>
            <w:tcW w:w="294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1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40" w:type="dxa"/>
            <w:vAlign w:val="bottom"/>
          </w:tcPr>
          <w:p>
            <w:pPr>
              <w:spacing w:after="0"/>
              <w:rPr>
                <w:sz w:val="20"/>
                <w:szCs w:val="20"/>
                <w:color w:val="auto"/>
              </w:rPr>
            </w:pPr>
          </w:p>
        </w:tc>
      </w:tr>
      <w:tr>
        <w:trPr>
          <w:trHeight w:val="432"/>
        </w:trPr>
        <w:tc>
          <w:tcPr>
            <w:tcW w:w="31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42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814-00638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20-0188736</w:t>
            </w:r>
          </w:p>
        </w:tc>
      </w:tr>
      <w:tr>
        <w:trPr>
          <w:trHeight w:val="191"/>
        </w:trPr>
        <w:tc>
          <w:tcPr>
            <w:tcW w:w="312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of incorporation)</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8 Sound Shore Drive, Suite 255</w:t>
            </w:r>
          </w:p>
        </w:tc>
        <w:tc>
          <w:tcPr>
            <w:tcW w:w="2940" w:type="dxa"/>
            <w:vAlign w:val="bottom"/>
          </w:tcPr>
          <w:p>
            <w:pPr>
              <w:spacing w:after="0"/>
              <w:rPr>
                <w:sz w:val="24"/>
                <w:szCs w:val="24"/>
                <w:color w:val="auto"/>
              </w:rPr>
            </w:pPr>
          </w:p>
        </w:tc>
      </w:tr>
      <w:tr>
        <w:trPr>
          <w:trHeight w:val="220"/>
        </w:trPr>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Greenwich, CT 06830</w:t>
            </w:r>
          </w:p>
        </w:tc>
        <w:tc>
          <w:tcPr>
            <w:tcW w:w="294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p>
        </w:tc>
        <w:tc>
          <w:tcPr>
            <w:tcW w:w="51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94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44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(203) 983-5275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1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294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1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OXSQ</w:t>
            </w: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 Notes due 2028</w:t>
            </w: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OXSQG</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7.75% Notes due 2030</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OXSQH</w:t>
            </w: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October 30, 2026, Oxford Square Capital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its financial results for the third quarter ended September 30, 2026. The text of the press release is included as Exhibit 99.1 to this Form 8-K.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is being furnished and shall not be deemed “filed” for purposes of Section 18 of the Securities Exchange Act of 1934, as amended, or otherwise subject to the liabilities of that section. The information set forth under this Item 2.02, including Exhibit 99.1, shall not be incorporated by reference into any registration statement or other document pursuant to the Securities Act of 1933, as amended, unless it is specifically incorporated by reference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October 28, 2026, the Company adopted its Fifth Amended and Restated Bylaws to amend Section 11 to establish minimum ownership and holding-period requirements for stockholders seeking to propose business, other than nominations of individuals for election to the Board of Directors, at an annual meeting of stockholders. Under Section 11, as amended, stockholders of record proposing such business must, individually or in the aggregate, have continuously held shares entitled to vote on the proposal having a market value of at least $1,000,000 or representing at least 3% of such shares entitled to vote on the proposal, in either case for at least six months before the date of the annual meeting. Such stockholders must also continuously hold those shares from the date of their notice of the proposed business through the annual meeting, including any adjournment or postponement thereof.</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Fifth Amended and Restated Bylaws, a copy of which is filed as Exhibit 3.1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October 30, 2026, the Company issued a press release, included herewith as Exhibit 99.1, announcing the declaration of distributions for the months ending January 31, 2027, February 28, 2027, and March 31, 2027. Additionally, on October 30, 2026, the Company made available on its website, </w:t>
      </w:r>
      <w:r>
        <w:rPr>
          <w:rFonts w:ascii="Times New Roman" w:cs="Times New Roman" w:eastAsia="Times New Roman" w:hAnsi="Times New Roman"/>
          <w:sz w:val="18"/>
          <w:szCs w:val="18"/>
          <w:i w:val="1"/>
          <w:iCs w:val="1"/>
          <w:color w:val="auto"/>
        </w:rPr>
        <w:t>www.oxfordsquarecapital.com</w:t>
      </w:r>
      <w:r>
        <w:rPr>
          <w:rFonts w:ascii="Times New Roman" w:cs="Times New Roman" w:eastAsia="Times New Roman" w:hAnsi="Times New Roman"/>
          <w:sz w:val="18"/>
          <w:szCs w:val="18"/>
          <w:color w:val="auto"/>
        </w:rPr>
        <w:t>, supplemental investor information with respect to the aforementioned earnings press release.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Fifth Amended and Restated Bylaws</w:t>
            </w:r>
          </w:p>
        </w:tc>
        <w:tc>
          <w:tcPr>
            <w:tcW w:w="7440" w:type="dxa"/>
            <w:vAlign w:val="bottom"/>
            <w:tcBorders>
              <w:bottom w:val="single" w:sz="8" w:color="CCEEFF"/>
            </w:tcBorders>
            <w:shd w:val="clear" w:color="auto" w:fill="CCEEFF"/>
          </w:tcPr>
          <w:p>
            <w:pPr>
              <w:spacing w:after="0"/>
              <w:rPr>
                <w:sz w:val="16"/>
                <w:szCs w:val="16"/>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30,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color w:val="auto"/>
        </w:rPr>
        <w:t>OXFORD SQUARE CAPITAL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Saul B. Rosenthal</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OXFORD SQUARE CAPITAL CORP</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 BYLAWS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office of the Corporation in the State of Maryland shall be located at such place as the Board of Directors may designate.</w:t>
      </w:r>
    </w:p>
    <w:p>
      <w:pPr>
        <w:spacing w:after="0" w:line="16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ADDITIONAL OFFICES</w:t>
      </w:r>
      <w:r>
        <w:rPr>
          <w:rFonts w:ascii="Times New Roman" w:cs="Times New Roman" w:eastAsia="Times New Roman" w:hAnsi="Times New Roman"/>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w:t>
      </w:r>
      <w:r>
        <w:rPr>
          <w:rFonts w:ascii="Times New Roman" w:cs="Times New Roman" w:eastAsia="Times New Roman" w:hAnsi="Times New Roman"/>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An annual meeting of the stockholders for the election of directors and the transaction of any business within the powers of the Corporation shall be held on a date and at the time set by the Board of Directors.</w:t>
      </w:r>
    </w:p>
    <w:p>
      <w:pPr>
        <w:spacing w:after="0" w:line="162"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44"/>
        <w:spacing w:after="0" w:line="266" w:lineRule="auto"/>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Chairman of the Board, the president or the Board of Directors may call a special meeting of the stockholders. Subject to subsection (b) of this Section 3, a special meeting of stockholders shall also be called by the secretary of the Corporation upon the written request of the stockholders entitled to cast not less than a majority of all the votes entitled to be cast at such meeting.</w:t>
      </w:r>
    </w:p>
    <w:p>
      <w:pPr>
        <w:spacing w:after="0" w:line="175" w:lineRule="exact"/>
        <w:rPr>
          <w:rFonts w:ascii="Times New Roman" w:cs="Times New Roman" w:eastAsia="Times New Roman" w:hAnsi="Times New Roman"/>
          <w:sz w:val="18"/>
          <w:szCs w:val="18"/>
          <w:color w:val="auto"/>
        </w:rPr>
      </w:pPr>
    </w:p>
    <w:p>
      <w:pPr>
        <w:ind w:left="1380" w:hanging="436"/>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Requested Special Meetings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right="80" w:firstLine="936"/>
        <w:spacing w:after="0" w:line="253" w:lineRule="auto"/>
        <w:tabs>
          <w:tab w:leader="none" w:pos="180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duly authorized agents), shall bear the date of signature of each such stockholder (or such agent) and shall set forth all information relating to each such 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and make a public announcement of such Request Record Date, the Request Record Date shall be the close of business on the tenth day after the first date on which the Record Date Request Notice is received by the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422275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sectPr>
      </w:pPr>
    </w:p>
    <w:bookmarkStart w:id="4" w:name="page5"/>
    <w:bookmarkEnd w:id="4"/>
    <w:p>
      <w:pPr>
        <w:ind w:right="80" w:firstLine="936"/>
        <w:spacing w:after="0" w:line="253" w:lineRule="auto"/>
        <w:tabs>
          <w:tab w:leader="none" w:pos="13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any stockholder to request a special meeting, one or more written requests for a special meeting signed by stockholders of record (or their duly authorized agents) as of the Request Record Date entitled to cast not less than a majority (the “Special Meeting Percentage”) of all of the votes entitled to be cast at such meeting (the “Special Meeting Request”) shall be delivered to the secretary. In addition, the Special Meeting Request shall set forth the purpose of the meeting and the matters proposed to be acted on at it (which shall be limited to the matters set forth in the Record Date Request Notice received by the secretary), shall bear the date of signature of each such stockholder (or such agent) signing the Special Meeting Request,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beneficially but not of record, shall be sent to the secretary by registered mail, return receipt requested, and shall be received by the secretary within 60 days after the Request Record Date. Any requesting stockholder may revoke his, her or its request for a special meeting at any time by written revocation delivered to the secretary.</w:t>
      </w:r>
    </w:p>
    <w:p>
      <w:pPr>
        <w:spacing w:after="0" w:line="191" w:lineRule="exact"/>
        <w:rPr>
          <w:rFonts w:ascii="Times New Roman" w:cs="Times New Roman" w:eastAsia="Times New Roman" w:hAnsi="Times New Roman"/>
          <w:sz w:val="18"/>
          <w:szCs w:val="18"/>
          <w:color w:val="auto"/>
        </w:rPr>
      </w:pPr>
    </w:p>
    <w:p>
      <w:pPr>
        <w:jc w:val="both"/>
        <w:ind w:right="120" w:firstLine="936"/>
        <w:spacing w:after="0" w:line="261" w:lineRule="auto"/>
        <w:tabs>
          <w:tab w:leader="none" w:pos="1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subsection (b)(2) of this Section 3, the secretary receives payment of such reasonably estimated cost prior to the mailing of any notice of the meeting.</w:t>
      </w:r>
    </w:p>
    <w:p>
      <w:pPr>
        <w:spacing w:after="0" w:line="179" w:lineRule="exact"/>
        <w:rPr>
          <w:rFonts w:ascii="Times New Roman" w:cs="Times New Roman" w:eastAsia="Times New Roman" w:hAnsi="Times New Roman"/>
          <w:sz w:val="18"/>
          <w:szCs w:val="18"/>
          <w:color w:val="auto"/>
        </w:rPr>
      </w:pPr>
    </w:p>
    <w:p>
      <w:pPr>
        <w:ind w:right="80" w:firstLine="936"/>
        <w:spacing w:after="0" w:line="255" w:lineRule="auto"/>
        <w:tabs>
          <w:tab w:leader="none" w:pos="13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w:t>
      </w:r>
    </w:p>
    <w:p>
      <w:pPr>
        <w:spacing w:after="0" w:line="2" w:lineRule="exact"/>
        <w:rPr>
          <w:rFonts w:ascii="Times New Roman" w:cs="Times New Roman" w:eastAsia="Times New Roman" w:hAnsi="Times New Roman"/>
          <w:sz w:val="18"/>
          <w:szCs w:val="18"/>
          <w:color w:val="auto"/>
        </w:rPr>
      </w:pPr>
    </w:p>
    <w:p>
      <w:pPr>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after the Meeting Record Date or, if such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after the Delivery Date shall be the Meeting Record Date.</w:t>
      </w:r>
    </w:p>
    <w:p>
      <w:pPr>
        <w:spacing w:after="0" w:line="199" w:lineRule="exact"/>
        <w:rPr>
          <w:rFonts w:ascii="Times New Roman" w:cs="Times New Roman" w:eastAsia="Times New Roman" w:hAnsi="Times New Roman"/>
          <w:sz w:val="18"/>
          <w:szCs w:val="18"/>
          <w:color w:val="auto"/>
        </w:rPr>
      </w:pPr>
    </w:p>
    <w:p>
      <w:pPr>
        <w:ind w:firstLine="936"/>
        <w:spacing w:after="0" w:line="254" w:lineRule="auto"/>
        <w:tabs>
          <w:tab w:leader="none" w:pos="13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422910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40" w:top="904" w:right="359" w:bottom="1440" w:gutter="0" w:footer="0" w:header="0"/>
        </w:sectPr>
      </w:pPr>
    </w:p>
    <w:bookmarkStart w:id="5" w:name="page6"/>
    <w:bookmarkEnd w:id="5"/>
    <w:p>
      <w:pPr>
        <w:ind w:left="440" w:right="20" w:firstLine="936"/>
        <w:spacing w:after="0" w:line="254" w:lineRule="auto"/>
        <w:tabs>
          <w:tab w:leader="none" w:pos="18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subsection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88" w:lineRule="exact"/>
        <w:rPr>
          <w:rFonts w:ascii="Times New Roman" w:cs="Times New Roman" w:eastAsia="Times New Roman" w:hAnsi="Times New Roman"/>
          <w:sz w:val="18"/>
          <w:szCs w:val="18"/>
          <w:color w:val="auto"/>
        </w:rPr>
      </w:pPr>
    </w:p>
    <w:p>
      <w:pPr>
        <w:ind w:left="440" w:right="500" w:firstLine="936"/>
        <w:spacing w:after="0" w:line="282" w:lineRule="auto"/>
        <w:tabs>
          <w:tab w:leader="none" w:pos="18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6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Written or printed notice of the purpose or purposes, in the case of a special meeting, and of the time and place of every meeting of the stockholders shall be given by the secretary of the Corporation to each stockholder of record entitled to vote at the meeting, by either placing the notice in the mail, delivering it by overnight delivery service or transmitting the notice by electronic mail or any other electronic means at least ten days, but not more than 90 days, prior to the date designated for the meeting, addressed to each stockholder at such stockholder’s address appearing on the books of the Corporation or supplied by the stockholder to the Corporation for the purpose of notice. The notice of any meeting of stockholders may be accompanied by a form of proxy approved by the Board of Directors in favor of the actions or persons as the Board of Directors may select. Notice of any meeting of stockholders shall be deemed waived by any stockholder who attends the meeting in person or by proxy or who before or after the meeting submits a signed waiver of notice that is filed with the records of the meeting.</w:t>
      </w:r>
    </w:p>
    <w:p>
      <w:pPr>
        <w:spacing w:after="0" w:line="19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Any business of the Corporation may be transacted at an annual meeting of stockholders without being specifically designated in the notice of such meeting, except such business as is required by any statute to be stated in such notice. No business shall be transacted at a special meeting of stockholders except as specifically designated in the notice of such meeting.</w:t>
      </w:r>
    </w:p>
    <w:p>
      <w:pPr>
        <w:spacing w:after="0" w:line="176"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ORGANIZATION AND CONDUCT</w:t>
      </w:r>
      <w:r>
        <w:rPr>
          <w:rFonts w:ascii="Times New Roman" w:cs="Times New Roman" w:eastAsia="Times New Roman" w:hAnsi="Times New Roman"/>
          <w:sz w:val="18"/>
          <w:szCs w:val="18"/>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chief executive officer, the president, any vice president, the secretary, the treasurer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or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maintaining order and security at the meeting; (f) removing any stockholder or any other individual who refuses to comply with meeting procedures, rules or guidelines as set forth by the chairman of the meeting; and</w:t>
      </w:r>
    </w:p>
    <w:p>
      <w:pPr>
        <w:spacing w:after="0" w:line="11" w:lineRule="exact"/>
        <w:rPr>
          <w:sz w:val="20"/>
          <w:szCs w:val="20"/>
          <w:color w:val="auto"/>
        </w:rPr>
      </w:pPr>
    </w:p>
    <w:p>
      <w:pPr>
        <w:ind w:right="6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recessing or adjourning the meeting to a later date and time and place announced at the meeting. Unless otherwise determined by the chairman of the meeting, meetings of stockholders shall not be required to be held in accordance with the rules of parliamentary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418465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904" w:right="359" w:bottom="1440" w:gutter="0" w:footer="0" w:header="0"/>
        </w:sectPr>
      </w:pPr>
    </w:p>
    <w:bookmarkStart w:id="6" w:name="page7"/>
    <w:bookmarkEnd w:id="6"/>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w:t>
      </w:r>
    </w:p>
    <w:p>
      <w:pPr>
        <w:spacing w:after="0" w:line="18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If, however, such quorum shall not be present at any meeting of the stockholders, the chairman of the meeting or the stockholders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80"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62"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44"/>
        <w:spacing w:after="0" w:line="266"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Standard for Election of Directors</w:t>
      </w:r>
      <w:r>
        <w:rPr>
          <w:rFonts w:ascii="Times New Roman" w:cs="Times New Roman" w:eastAsia="Times New Roman" w:hAnsi="Times New Roman"/>
          <w:sz w:val="18"/>
          <w:szCs w:val="18"/>
          <w:color w:val="auto"/>
        </w:rPr>
        <w:t>. Election of directors at all meetings of the stockholders at which directors are to be elected shall be by a plurality of the votes cast at a meeting of stockholders duly called and at which a quorum is present. Each share may be voted for as many individuals as there are directors to be elected and for whose election the share is entitled to be voted.</w:t>
      </w:r>
    </w:p>
    <w:p>
      <w:pPr>
        <w:spacing w:after="0" w:line="175" w:lineRule="exact"/>
        <w:rPr>
          <w:rFonts w:ascii="Times New Roman" w:cs="Times New Roman" w:eastAsia="Times New Roman" w:hAnsi="Times New Roman"/>
          <w:sz w:val="18"/>
          <w:szCs w:val="18"/>
          <w:color w:val="auto"/>
        </w:rPr>
      </w:pPr>
    </w:p>
    <w:p>
      <w:pPr>
        <w:ind w:right="300" w:firstLine="944"/>
        <w:spacing w:after="0" w:line="261" w:lineRule="auto"/>
        <w:tabs>
          <w:tab w:leader="none" w:pos="13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 Required in Other Matters</w:t>
      </w:r>
      <w:r>
        <w:rPr>
          <w:rFonts w:ascii="Times New Roman" w:cs="Times New Roman" w:eastAsia="Times New Roman" w:hAnsi="Times New Roman"/>
          <w:sz w:val="18"/>
          <w:szCs w:val="18"/>
          <w:color w:val="auto"/>
        </w:rPr>
        <w:t>. A majority of the votes cast at a meeting of stockholders duly called and at which a quorum is present shall be sufficient to approve any matters other than the election of directors that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8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8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OF STOCK BY CERTAIN HOLDERS</w:t>
      </w:r>
      <w:r>
        <w:rPr>
          <w:rFonts w:ascii="Times New Roman" w:cs="Times New Roman" w:eastAsia="Times New Roman" w:hAnsi="Times New Roman"/>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8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422910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904" w:right="359" w:bottom="1440" w:gutter="0" w:footer="0" w:header="0"/>
        </w:sectPr>
      </w:pPr>
    </w:p>
    <w:bookmarkStart w:id="7" w:name="page8"/>
    <w:bookmarkEnd w:id="7"/>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xml:space="preserve">.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thereof.</w:t>
      </w:r>
    </w:p>
    <w:p>
      <w:pPr>
        <w:spacing w:after="0" w:line="192" w:lineRule="exact"/>
        <w:rPr>
          <w:sz w:val="20"/>
          <w:szCs w:val="20"/>
          <w:color w:val="auto"/>
        </w:rPr>
      </w:pPr>
    </w:p>
    <w:p>
      <w:pPr>
        <w:ind w:left="44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ADVANCE NOTICE OF STOCKHOLDER NOMINEES FOR DIRECTOR AND OTHER STOCKHOLDER PROPOSALS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944"/>
        <w:spacing w:after="0" w:line="256" w:lineRule="auto"/>
        <w:tabs>
          <w:tab w:leader="none" w:pos="12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Nominations and Other Proposals to be Considered at Meetings of Stockholders</w:t>
      </w:r>
      <w:r>
        <w:rPr>
          <w:rFonts w:ascii="Times New Roman" w:cs="Times New Roman" w:eastAsia="Times New Roman" w:hAnsi="Times New Roman"/>
          <w:sz w:val="18"/>
          <w:szCs w:val="18"/>
          <w:color w:val="auto"/>
        </w:rPr>
        <w:t>. Nominations of individuals for election to the Board of Directors and the proposal of other business to be considered by the stockholders at a meeting may be properly brought before the meeting only as set forth in this Section 11. All judgments and determinations made by the Board of Directors or the Chairman of the meeting, as applicable, under this Section 11 (including, without limitation, judgments as to whether any matter or thing is satisfactory to the Board of Directors and determinations as to the proprietary of a proposed nomination or a proposal of other business for consideration by stockholders) shall be final and binding unless determined by a court of competent jurisdiction to have been made in bad faith.</w:t>
      </w:r>
    </w:p>
    <w:p>
      <w:pPr>
        <w:spacing w:after="0" w:line="187" w:lineRule="exact"/>
        <w:rPr>
          <w:rFonts w:ascii="Times New Roman" w:cs="Times New Roman" w:eastAsia="Times New Roman" w:hAnsi="Times New Roman"/>
          <w:sz w:val="18"/>
          <w:szCs w:val="18"/>
          <w:color w:val="auto"/>
        </w:rPr>
      </w:pPr>
    </w:p>
    <w:p>
      <w:pPr>
        <w:ind w:left="1200" w:hanging="256"/>
        <w:spacing w:after="0"/>
        <w:tabs>
          <w:tab w:leader="none" w:pos="12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right="40" w:firstLine="936"/>
        <w:spacing w:after="0" w:line="254" w:lineRule="auto"/>
        <w:tabs>
          <w:tab w:leader="none" w:pos="181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notice provided for in this Section 11(b) and at the time of the annual meeting, who is entitled to vote at the meeting and who otherwise complies with this Section 11(b). Proposals of business to be considered by the stockholders, other than election of the Board of Directors, may only be made by stockholders of record who (x) individually or in the aggregate, have continuously held shares of stock of the Corporation entitled to vote at the meeting on the proposal for such business having a market value of at least (A) $1,000,000 or (B) 3% of such shares, in either case, for at least six months before the date of the annual meeting, and (y) continuously holds such shares from the date of the notice through the time of the annual meeting (including any adjournment or postponement thereof).</w:t>
      </w:r>
    </w:p>
    <w:p>
      <w:pPr>
        <w:spacing w:after="0" w:line="188" w:lineRule="exact"/>
        <w:rPr>
          <w:rFonts w:ascii="Times New Roman" w:cs="Times New Roman" w:eastAsia="Times New Roman" w:hAnsi="Times New Roman"/>
          <w:sz w:val="18"/>
          <w:szCs w:val="18"/>
          <w:color w:val="auto"/>
        </w:rPr>
      </w:pPr>
    </w:p>
    <w:p>
      <w:pPr>
        <w:ind w:left="440" w:firstLine="936"/>
        <w:spacing w:after="0" w:line="254" w:lineRule="auto"/>
        <w:tabs>
          <w:tab w:leader="none" w:pos="1811"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nominations or other business to be properly brought before an annual meeting by a stockholder pursuant to clause (iii) of subsection (b)(1) of this Section 11, the stockholder must have given timely notice thereof in writing to the secretary of the Corporation and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less than 90 days nor more than 120 days prior to the first anniversary of the date of mailing of the notice for the preceding year’s annual meeting; provided, however, that in the event that the date of the mailing of the notice for the annual meeting is advanced or delayed by more than 30 days from the first anniversary of the date of mailing of the notice for the preceding year’s annual meeting, notice by the stockholder to be timely must be so delivered not earlier than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prior to the date of mailing of the notice for such annual meeting and not later than the close of business on the later of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prior to the date of mailing of the notice for such annual meeting or the tenth day following the day on which public announcement of the date of mailing of the notice for such meeting is first made. In no event shall the public announcement of a postponement or adjournment of an annual meeting commence a new time period for the giving of a stockholder’s notice as described above. Such stockholder’s notice shall set forth (i) as to each individual whom the stockholder proposes to nominate for election or reelection as a director, (A) the name, age, business address and residence address of such individual, (B) the class, series and number of any shares of stock of the Corporation that are beneficially owned by such individual and the date such shares were acquired and the investment intent of such acquisition, (C) whether such stockholder believes any such individual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 and</w:t>
      </w:r>
    </w:p>
    <w:p>
      <w:pPr>
        <w:spacing w:after="0" w:line="2" w:lineRule="exact"/>
        <w:rPr>
          <w:rFonts w:ascii="Times New Roman" w:cs="Times New Roman" w:eastAsia="Times New Roman" w:hAnsi="Times New Roman"/>
          <w:sz w:val="17"/>
          <w:szCs w:val="17"/>
          <w:color w:val="auto"/>
        </w:rPr>
      </w:pPr>
    </w:p>
    <w:p>
      <w:pPr>
        <w:ind w:left="440"/>
        <w:spacing w:after="0" w:line="250"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such individual that is required to be disclosed in solicitations of proxies for election of directors in an election contest (even if an election contest is not involved), or is otherwise required, in each case pursuant to Regulation 14A (or any successor provision) under the Exchange Act and the rules thereunder (including such individual’s written consent to being named in the proxy statement as a nominee and to serving as a director if elected); (ii) as to any other business that the stockholder proposes to bring before the meeting, a description of the business desired to be brought before the meeting, the reasons for proposing such business at the meeting and any material interest in such business of such stockholder and any Stockholder Associated Person (as defined below), individually or in the aggregate, including any anticipated benefit to the stockholder and any Stockholder Associated Person therefrom; (iii) as to the stockholder giving the notice and any Stockholder Associated Person, the class, series and number of all shares of stock of the Corporation which are owned beneficially by such stockholder and by such Stockholder Associated Person, if any, (iv) as to the stockholder giving the notice and any Stockholder Associated Person covered by clauses</w:t>
      </w:r>
    </w:p>
    <w:p>
      <w:pPr>
        <w:spacing w:after="0" w:line="3" w:lineRule="exact"/>
        <w:rPr>
          <w:rFonts w:ascii="Times New Roman" w:cs="Times New Roman" w:eastAsia="Times New Roman" w:hAnsi="Times New Roman"/>
          <w:sz w:val="18"/>
          <w:szCs w:val="18"/>
          <w:color w:val="auto"/>
        </w:rPr>
      </w:pPr>
    </w:p>
    <w:p>
      <w:pPr>
        <w:ind w:lef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or (iii) of this Section 11(b)(2), the name and address of such stockholder, as they appear on the Corporation’s stock ledger and current name and address, if different, and of such Stockholder Associated Person and (v) to the extent known by the stockholder giving the notice, the name and address of any other stockholder supporting the nominee for election or reelection as a director or the proposal of other business on the date of such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422910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904" w:right="339" w:bottom="1440" w:gutter="0" w:footer="0" w:header="0"/>
        </w:sectPr>
      </w:pPr>
    </w:p>
    <w:bookmarkStart w:id="8" w:name="page9"/>
    <w:bookmarkEnd w:id="8"/>
    <w:p>
      <w:pPr>
        <w:ind w:left="-500" w:right="20" w:firstLine="936"/>
        <w:spacing w:after="0" w:line="256" w:lineRule="auto"/>
        <w:tabs>
          <w:tab w:leader="none" w:pos="8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11(b) to the contrary, in the event the Board of Directors increases or decreases the number of directors in accordance with Article III, Section 2 of these Bylaws, and there is no public announcement of such action at least 100 days prior to the first anniversary of the date of mailing of the notice for the preceding year’s annual meeting, a stockholder’s notice required by this Section 11(b) shall also be considered timely, but only with respect to nominees for any new positions created by such increase, if it shall be delivered to the secretary at the principal executive office of the Corporation not later than the close of business on the tenth day following the day on which such public announcement is first made by the Corporation.</w:t>
      </w:r>
    </w:p>
    <w:p>
      <w:pPr>
        <w:spacing w:after="0" w:line="187" w:lineRule="exact"/>
        <w:rPr>
          <w:rFonts w:ascii="Times New Roman" w:cs="Times New Roman" w:eastAsia="Times New Roman" w:hAnsi="Times New Roman"/>
          <w:sz w:val="18"/>
          <w:szCs w:val="18"/>
          <w:color w:val="auto"/>
        </w:rPr>
      </w:pPr>
    </w:p>
    <w:p>
      <w:pPr>
        <w:ind w:left="-500" w:firstLine="936"/>
        <w:spacing w:after="0" w:line="289" w:lineRule="auto"/>
        <w:tabs>
          <w:tab w:leader="none" w:pos="87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11, “Stockholder Associated Person” of any stockholder shall mean (i) 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57" w:lineRule="exact"/>
        <w:rPr>
          <w:rFonts w:ascii="Times New Roman" w:cs="Times New Roman" w:eastAsia="Times New Roman" w:hAnsi="Times New Roman"/>
          <w:sz w:val="17"/>
          <w:szCs w:val="17"/>
          <w:color w:val="auto"/>
        </w:rPr>
      </w:pPr>
    </w:p>
    <w:p>
      <w:pPr>
        <w:ind w:left="-500" w:right="120" w:firstLine="936"/>
        <w:spacing w:after="0" w:line="266" w:lineRule="auto"/>
        <w:tabs>
          <w:tab w:leader="none" w:pos="9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 the market value of shares of stock held by the applicable stockholder shall be determined by multiplying the number of shares held by such stockholder by the highest selling price of shares of the Company as reported on the principal exchange on which shares of the Company are listed, on such measurement date.</w:t>
      </w:r>
    </w:p>
    <w:p>
      <w:pPr>
        <w:spacing w:after="0" w:line="175" w:lineRule="exact"/>
        <w:rPr>
          <w:rFonts w:ascii="Times New Roman" w:cs="Times New Roman" w:eastAsia="Times New Roman" w:hAnsi="Times New Roman"/>
          <w:sz w:val="18"/>
          <w:szCs w:val="18"/>
          <w:color w:val="auto"/>
        </w:rPr>
      </w:pPr>
    </w:p>
    <w:p>
      <w:pPr>
        <w:ind w:left="-940" w:right="20" w:firstLine="944"/>
        <w:spacing w:after="0" w:line="243"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(i) pursuant to the Corporation’s notice of meeting, (ii) by or at the direction of the Board of Directors or (iii) provided that the Board of Directors has determined that directors shall be elected at such special meeting, by any stockholder of the Corporation who satisfies the ownership amount, holding period and other requirements set forth in subsection (b)(1) of this Section 11 (with references therein to the annual meeting being deemed references to the special meeting), who is a stockholder of record both at the time of giving of notice provided for in this Section 11 and at the time of the special meeting, who is entitled to vote at the meeting and who complied with the notice procedures set forth in this Section 11. In the event the Corporation calls a special meeting of stockholders for the purpose of electing one or more individuals to the Board of Directors, any such stockholder may nominate an individual or individuals (as the case may be) for election as a director as specified in the Corporation’s notice of meeting, if the stockholder’s notice required by subsection (b)(2) of this Section 11 shall be delivered to the secretary at the principal executive office of the Corporation not earlier than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prior to such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prior to such special meeting or the tenth day following the day on which public announcement is first made of the date of the special meeting and of the nominees proposed by the Board of Directors to be elected at such meeting. In no event shall the public announcement of a postponement or adjournment of a special meeting commence a new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432435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9" w:name="page10"/>
    <w:bookmarkEnd w:id="9"/>
    <w:p>
      <w:pPr>
        <w:ind w:left="1380" w:hanging="436"/>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firstLine="936"/>
        <w:spacing w:after="0" w:line="256" w:lineRule="auto"/>
        <w:tabs>
          <w:tab w:leader="none" w:pos="18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the secretary or the Board of Directors or any committee thereof, any stockholder proposing a nominee for election as a director or any proposal for other business at a meeting of stockholders shall provide, within five Business Days of delivery of such request (or such other period as may be specified in such request), written verification, satisfactory, in the discretion of the Board of Directors or any committee thereof or any authorized officer of the Corporation, to demonstrate the accuracy of any information submitted by the stockholder pursuant to this Section 11. If a stockholder fails to provide such written verification within such period, the information as to which written verification was requested may be deemed not to have been provided in accordance with this Section 11.</w:t>
      </w:r>
    </w:p>
    <w:p>
      <w:pPr>
        <w:spacing w:after="0" w:line="187" w:lineRule="exact"/>
        <w:rPr>
          <w:rFonts w:ascii="Times New Roman" w:cs="Times New Roman" w:eastAsia="Times New Roman" w:hAnsi="Times New Roman"/>
          <w:sz w:val="18"/>
          <w:szCs w:val="18"/>
          <w:color w:val="auto"/>
        </w:rPr>
      </w:pPr>
    </w:p>
    <w:p>
      <w:pPr>
        <w:ind w:left="440" w:right="60" w:firstLine="936"/>
        <w:spacing w:after="0" w:line="261" w:lineRule="auto"/>
        <w:tabs>
          <w:tab w:leader="none" w:pos="18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individuals who are nominated in accordance with this Section 11 shall be eligible for election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79" w:lineRule="exact"/>
        <w:rPr>
          <w:rFonts w:ascii="Times New Roman" w:cs="Times New Roman" w:eastAsia="Times New Roman" w:hAnsi="Times New Roman"/>
          <w:sz w:val="18"/>
          <w:szCs w:val="18"/>
          <w:color w:val="auto"/>
        </w:rPr>
      </w:pPr>
    </w:p>
    <w:p>
      <w:pPr>
        <w:ind w:left="440" w:right="160" w:firstLine="936"/>
        <w:spacing w:after="0" w:line="261" w:lineRule="auto"/>
        <w:tabs>
          <w:tab w:leader="none" w:pos="18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 (a) the “date of mailing of the notice” shall mean the date of the proxy statement for the solicitation of proxies for election of directors and (b) “public announcement” shall mean disclosure (i) in a press release reported by the Dow Jones News Service, Associated Press or comparable news service or (ii) in a document publicly filed by the Corporation with the Securities and Exchange Commission pursuant to the Exchange Act or the Investment Company Act.</w:t>
      </w:r>
    </w:p>
    <w:p>
      <w:pPr>
        <w:spacing w:after="0" w:line="179" w:lineRule="exact"/>
        <w:rPr>
          <w:rFonts w:ascii="Times New Roman" w:cs="Times New Roman" w:eastAsia="Times New Roman" w:hAnsi="Times New Roman"/>
          <w:sz w:val="18"/>
          <w:szCs w:val="18"/>
          <w:color w:val="auto"/>
        </w:rPr>
      </w:pPr>
    </w:p>
    <w:p>
      <w:pPr>
        <w:ind w:left="440" w:firstLine="936"/>
        <w:spacing w:after="0" w:line="261" w:lineRule="auto"/>
        <w:tabs>
          <w:tab w:leader="none" w:pos="18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nor the right of the Corporation to omit a proposal from, the Corporation’s proxy statement pursuant to Rule 14a-8 (or any successor provision) under the Exchange Act.</w:t>
      </w:r>
    </w:p>
    <w:p>
      <w:pPr>
        <w:spacing w:after="0" w:line="179" w:lineRule="exact"/>
        <w:rPr>
          <w:rFonts w:ascii="Times New Roman" w:cs="Times New Roman" w:eastAsia="Times New Roman" w:hAnsi="Times New Roman"/>
          <w:sz w:val="18"/>
          <w:szCs w:val="18"/>
          <w:color w:val="auto"/>
        </w:rPr>
      </w:pPr>
    </w:p>
    <w:p>
      <w:pPr>
        <w:ind w:left="440" w:right="240" w:firstLine="936"/>
        <w:spacing w:after="0" w:line="312" w:lineRule="auto"/>
        <w:tabs>
          <w:tab w:leader="none" w:pos="163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11, including, without limitation, the requirements set forth in subsection (b)(1) of this Section 11, shall be read in conformity with the requirements provided under Section 3 of this Article II or under the Maryland General Corporation Law (the “MGCL”).</w:t>
      </w:r>
    </w:p>
    <w:p>
      <w:pPr>
        <w:spacing w:after="0" w:line="140"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VOTING BY BALLOT</w:t>
      </w:r>
      <w:r>
        <w:rPr>
          <w:rFonts w:ascii="Times New Roman" w:cs="Times New Roman" w:eastAsia="Times New Roman" w:hAnsi="Times New Roman"/>
          <w:sz w:val="18"/>
          <w:szCs w:val="18"/>
          <w:color w:val="auto"/>
        </w:rPr>
        <w:t xml:space="preserve">. Voting on any question or in any election may be </w:t>
      </w:r>
      <w:r>
        <w:rPr>
          <w:rFonts w:ascii="Times New Roman" w:cs="Times New Roman" w:eastAsia="Times New Roman" w:hAnsi="Times New Roman"/>
          <w:sz w:val="18"/>
          <w:szCs w:val="18"/>
          <w:u w:val="single" w:color="auto"/>
          <w:color w:val="auto"/>
        </w:rPr>
        <w:t>viva voce</w:t>
      </w:r>
      <w:r>
        <w:rPr>
          <w:rFonts w:ascii="Times New Roman" w:cs="Times New Roman" w:eastAsia="Times New Roman" w:hAnsi="Times New Roman"/>
          <w:sz w:val="18"/>
          <w:szCs w:val="18"/>
          <w:color w:val="auto"/>
        </w:rPr>
        <w:t xml:space="preserve"> unless the presiding officer shall order or any stockholder shall demand that voting be by ballot.</w:t>
      </w:r>
    </w:p>
    <w:p>
      <w:pPr>
        <w:spacing w:after="0" w:line="16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CONTROL SHARE ACQUISITION ACT</w:t>
      </w:r>
      <w:r>
        <w:rPr>
          <w:rFonts w:ascii="Times New Roman" w:cs="Times New Roman" w:eastAsia="Times New Roman" w:hAnsi="Times New Roman"/>
          <w:sz w:val="18"/>
          <w:szCs w:val="18"/>
          <w:color w:val="auto"/>
        </w:rPr>
        <w:t>. Notwithstanding any other provision of the charter of the Corporation or these Bylaws, Title 3, Subtitle 7 of the MGCL, or any successor statute,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00" w:top="904" w:right="379" w:bottom="1440" w:gutter="0" w:footer="0" w:header="0"/>
        </w:sectPr>
      </w:pPr>
    </w:p>
    <w:bookmarkStart w:id="10" w:name="page11"/>
    <w:bookmarkEnd w:id="10"/>
    <w:p>
      <w:pPr>
        <w:ind w:left="49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under the direction of its Board of Directors.</w:t>
      </w:r>
    </w:p>
    <w:p>
      <w:pPr>
        <w:spacing w:after="0" w:line="22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At any regular meeting or at any special meeting called for that purpose, a majority of the entire Board of Directors may establish, increase or decrease the number of directors, provided that the number thereof shall never be less than the minimum number required by the MGCL, nor more than 12, and further provided that the tenure of office of a director shall not be affected by any decrease in the number of directors.</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ANNUAL AND REGULAR MEETINGS</w:t>
      </w:r>
      <w:r>
        <w:rPr>
          <w:rFonts w:ascii="Times New Roman" w:cs="Times New Roman" w:eastAsia="Times New Roman" w:hAnsi="Times New Roman"/>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8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9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of the Corporation or these Bylaws, the vote of a majority of a particular group of directors is required for action, a quorum must also include a majority of such group.</w:t>
      </w:r>
    </w:p>
    <w:p>
      <w:pPr>
        <w:spacing w:after="0" w:line="207"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6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the directors still present at such meeting shall be the action of the Board of Directors, unless the concurrence of a greater proportion is required for such action by applicable statute or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419735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900" w:right="359" w:bottom="1440" w:gutter="0" w:footer="0" w:header="0"/>
        </w:sectPr>
      </w:pPr>
    </w:p>
    <w:bookmarkStart w:id="11" w:name="page12"/>
    <w:bookmarkEnd w:id="11"/>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8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8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WRITTEN CONSENT BY DIRECTORS</w:t>
      </w:r>
      <w:r>
        <w:rPr>
          <w:rFonts w:ascii="Times New Roman" w:cs="Times New Roman" w:eastAsia="Times New Roman" w:hAnsi="Times New Roman"/>
          <w:sz w:val="18"/>
          <w:szCs w:val="18"/>
          <w:color w:val="auto"/>
        </w:rPr>
        <w:t>. Any action required or permitted to be taken at any meeting of the Board of Directors may be taken without a meeting, if a consent in writing to such action is signed by each director and such written consent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78"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for any reason any or all the directors cease to be directors, such event shall not terminate the Corporation or affect these Bylaws or the powers of the remaining directors hereunder, if any. Pursuant to the Corporation’s election in Article V of the charter, subject to applicable requirements of the Investment Company Act, except as may be provided by the Board of Directors in setting the terms of any class or series of preferred stock, (a) 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spacing w:after="0" w:line="18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18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LOSS OF DEPOSITS</w:t>
      </w:r>
      <w:r>
        <w:rPr>
          <w:rFonts w:ascii="Times New Roman" w:cs="Times New Roman" w:eastAsia="Times New Roman" w:hAnsi="Times New Roman"/>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62"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SURETY BONDS</w:t>
      </w:r>
      <w:r>
        <w:rPr>
          <w:rFonts w:ascii="Times New Roman" w:cs="Times New Roman" w:eastAsia="Times New Roman" w:hAnsi="Times New Roman"/>
          <w:sz w:val="18"/>
          <w:szCs w:val="18"/>
          <w:color w:val="auto"/>
        </w:rPr>
        <w:t>. Unless required by law, no director shall be obligated to give any bond or surety or other security for the performance of any of his or her duties.</w:t>
      </w:r>
    </w:p>
    <w:p>
      <w:pPr>
        <w:spacing w:after="0" w:line="162"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419735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904" w:right="339" w:bottom="1440" w:gutter="0" w:footer="0" w:header="0"/>
        </w:sectPr>
      </w:pPr>
    </w:p>
    <w:bookmarkStart w:id="12" w:name="page13"/>
    <w:bookmarkEnd w:id="12"/>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07"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76"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Board of Directors may delegate to committees appointed under Section 1 of this Article any of the powers of the Board of Directors, except as prohibited by law.</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8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WRITTEN CONSENT BY COMMITTEES</w:t>
      </w:r>
      <w:r>
        <w:rPr>
          <w:rFonts w:ascii="Times New Roman" w:cs="Times New Roman" w:eastAsia="Times New Roman" w:hAnsi="Times New Roman"/>
          <w:sz w:val="18"/>
          <w:szCs w:val="18"/>
          <w:color w:val="auto"/>
        </w:rPr>
        <w:t>. Any action required or permitted to be taken at any meeting of a committee of the Board of Directors may be taken without a meeting, if a consent in writing to such action is signed by each member of the committee and such written consent is filed with the minutes of proceedings of such committee.</w:t>
      </w:r>
    </w:p>
    <w:p>
      <w:pPr>
        <w:spacing w:after="0" w:line="176"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17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88"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8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A vacancy in any office may be filled by the Board of Directors for the balance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445770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900" w:right="359" w:bottom="1440" w:gutter="0" w:footer="0" w:header="0"/>
        </w:sectPr>
      </w:pPr>
    </w:p>
    <w:bookmarkStart w:id="13" w:name="page14"/>
    <w:bookmarkEnd w:id="13"/>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w:t>
      </w:r>
    </w:p>
    <w:p>
      <w:pPr>
        <w:spacing w:after="0" w:line="176"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CHIEF OPERATING OFFICER</w:t>
      </w:r>
      <w:r>
        <w:rPr>
          <w:rFonts w:ascii="Times New Roman" w:cs="Times New Roman" w:eastAsia="Times New Roman" w:hAnsi="Times New Roman"/>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6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8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8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custody of the funds and securities of the Corporation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80"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8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ASSISTANT SECRETARIES AND ASSISTANT TREASURERS</w:t>
      </w:r>
      <w:r>
        <w:rPr>
          <w:rFonts w:ascii="Times New Roman" w:cs="Times New Roman" w:eastAsia="Times New Roman" w:hAnsi="Times New Roman"/>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417195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904" w:right="359" w:bottom="1440" w:gutter="0" w:footer="0" w:header="0"/>
        </w:sectPr>
      </w:pPr>
    </w:p>
    <w:bookmarkStart w:id="14" w:name="page15"/>
    <w:bookmarkEnd w:id="1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CONTRACTS, LOANS, CHECKS AND DEPOSITS</w:t>
      </w:r>
    </w:p>
    <w:p>
      <w:pPr>
        <w:spacing w:after="0" w:line="207"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18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CHECKS AND DRAFTS</w:t>
      </w:r>
      <w:r>
        <w:rPr>
          <w:rFonts w:ascii="Times New Roman" w:cs="Times New Roman" w:eastAsia="Times New Roman" w:hAnsi="Times New Roman"/>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7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07"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REQUIRED INFORMATION</w:t>
      </w:r>
      <w:r>
        <w:rPr>
          <w:rFonts w:ascii="Times New Roman" w:cs="Times New Roman" w:eastAsia="Times New Roman" w:hAnsi="Times New Roman"/>
          <w:sz w:val="18"/>
          <w:szCs w:val="18"/>
          <w:color w:val="auto"/>
        </w:rPr>
        <w:t>.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holders of such shares a written statement of the information required by the MGCL to be included on stock certificates.</w:t>
      </w:r>
    </w:p>
    <w:p>
      <w:pPr>
        <w:spacing w:after="0" w:line="180"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 WHEN CERTIFICATES ISSUED</w:t>
      </w:r>
      <w:r>
        <w:rPr>
          <w:rFonts w:ascii="Times New Roman" w:cs="Times New Roman" w:eastAsia="Times New Roman" w:hAnsi="Times New Roman"/>
          <w:sz w:val="18"/>
          <w:szCs w:val="18"/>
          <w:color w:val="auto"/>
        </w:rPr>
        <w:t>.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7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7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transfers of shares of any class of stock will be subject in all respects to the charter of the Corporation and all of the terms and conditions contained therein.</w:t>
      </w:r>
    </w:p>
    <w:p>
      <w:pPr>
        <w:spacing w:after="0" w:line="16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REPLACEMENT CERTIFICATE</w:t>
      </w:r>
      <w:r>
        <w:rPr>
          <w:rFonts w:ascii="Times New Roman" w:cs="Times New Roman" w:eastAsia="Times New Roman" w:hAnsi="Times New Roman"/>
          <w:sz w:val="18"/>
          <w:szCs w:val="18"/>
          <w:color w:val="auto"/>
        </w:rPr>
        <w:t>.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89"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CLOSING OF TRANSFER BOOKS OR FIXING OF RECORD DATE</w:t>
      </w:r>
      <w:r>
        <w:rPr>
          <w:rFonts w:ascii="Times New Roman" w:cs="Times New Roman" w:eastAsia="Times New Roman" w:hAnsi="Times New Roman"/>
          <w:sz w:val="18"/>
          <w:szCs w:val="18"/>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422275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900" w:right="339" w:bottom="1440" w:gutter="0" w:footer="0" w:header="0"/>
        </w:sectPr>
      </w:pPr>
    </w:p>
    <w:bookmarkStart w:id="15" w:name="page16"/>
    <w:bookmarkEnd w:id="15"/>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76" w:lineRule="exact"/>
        <w:rPr>
          <w:sz w:val="20"/>
          <w:szCs w:val="20"/>
          <w:color w:val="auto"/>
        </w:rPr>
      </w:pPr>
    </w:p>
    <w:p>
      <w:pPr>
        <w:ind w:right="60" w:firstLine="432"/>
        <w:spacing w:after="0" w:line="242" w:lineRule="auto"/>
        <w:rPr>
          <w:sz w:val="20"/>
          <w:szCs w:val="20"/>
          <w:color w:val="auto"/>
        </w:rPr>
      </w:pPr>
      <w:r>
        <w:rPr>
          <w:rFonts w:ascii="Times New Roman" w:cs="Times New Roman" w:eastAsia="Times New Roman" w:hAnsi="Times New Roman"/>
          <w:sz w:val="18"/>
          <w:szCs w:val="18"/>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9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80"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LEDGER</w:t>
      </w:r>
      <w:r>
        <w:rPr>
          <w:rFonts w:ascii="Times New Roman" w:cs="Times New Roman" w:eastAsia="Times New Roman" w:hAnsi="Times New Roman"/>
          <w:sz w:val="18"/>
          <w:szCs w:val="18"/>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7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FRACTIONAL STOCK; ISSUANCE OF UNITS</w:t>
      </w:r>
      <w:r>
        <w:rPr>
          <w:rFonts w:ascii="Times New Roman" w:cs="Times New Roman" w:eastAsia="Times New Roman" w:hAnsi="Times New Roman"/>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17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ACCOUNTING YEAR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shall have the power, from time to time, to fix the fiscal year of the Corporation by a duly adopted resolution.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76"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419735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904" w:right="339" w:bottom="1440" w:gutter="0" w:footer="0" w:header="0"/>
        </w:sectPr>
      </w:pPr>
    </w:p>
    <w:bookmarkStart w:id="16" w:name="page17"/>
    <w:bookmarkEnd w:id="16"/>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76"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AFFIXING SEAL</w:t>
      </w:r>
      <w:r>
        <w:rPr>
          <w:rFonts w:ascii="Times New Roman" w:cs="Times New Roman" w:eastAsia="Times New Roman" w:hAnsi="Times New Roman"/>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7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INDEMNIFICATION AND ADVANCE OF EXPENSES</w:t>
      </w:r>
    </w:p>
    <w:p>
      <w:pPr>
        <w:spacing w:after="0" w:line="207"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a party to the proceeding by reason of his or her service in that capacity or (b) any individual who, while a director of the Corporation and at the request of the Corporation, serves or has served as a director, officer, partner or trustee of another corporation, real estate investment trust, partnership, joint venture, trust, employee benefit plan or other enterprise and who is made a party to the proceeding by reason of his or her service in that capacity. The Corporation may, with the approval of its Board of Directors, provide such indemnification and advance for expenses to a person who served a predecessor of the Corporation in any of the capacities described in (a) or (b) above and to any employee or agent of the Corporation or a predecessor of the Corporation.</w:t>
      </w:r>
    </w:p>
    <w:p>
      <w:pPr>
        <w:spacing w:after="0" w:line="188"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176"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No provision of this Article XI shall be effective to protect or purport to protect any director or officer of the Corporation against liability to the Corporation or its stockholders to which he or she would otherwise be subject by reason of willfulness misfeasance, bad faith, gross negligence or reckless disregard of the duties involved in the conduct of his or her office.</w:t>
      </w:r>
    </w:p>
    <w:p>
      <w:pPr>
        <w:spacing w:after="0" w:line="19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WAIVER OF NOTICE</w:t>
      </w:r>
    </w:p>
    <w:p>
      <w:pPr>
        <w:spacing w:after="0" w:line="207"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INSPECTION OF RECORDS</w:t>
      </w:r>
    </w:p>
    <w:p>
      <w:pPr>
        <w:spacing w:after="0" w:line="207"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 stockholder who is otherwise eligible under the MGCL to inspect certain books and records of the Corporation shall have no right to inspect any such books and records if the Board of Directors determines that such stockholder has an improper purpose for such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405765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900" w:right="339" w:bottom="1440" w:gutter="0" w:footer="0" w:header="0"/>
        </w:sectPr>
      </w:pPr>
    </w:p>
    <w:bookmarkStart w:id="17" w:name="page18"/>
    <w:bookmarkEnd w:id="1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INVESTMENT COMPANY ACT</w:t>
      </w:r>
    </w:p>
    <w:p>
      <w:pPr>
        <w:spacing w:after="0" w:line="2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1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shall have the exclusive power to adopt, alter or repeal any provision of these Bylaws and to make new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445770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500" w:top="900" w:right="659" w:bottom="1440" w:gutter="0" w:footer="0" w:header="0"/>
        </w:sectPr>
      </w:pPr>
    </w:p>
    <w:bookmarkStart w:id="18" w:name="page19"/>
    <w:bookmarkEnd w:id="18"/>
    <w:p>
      <w:pPr>
        <w:ind w:left="104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1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Oxford Square Capital Corp. Announces Net Asset Value and Selected Financial Results for the Quarter Ended September 30, 2026 and Declaration of Distributions on Common Stock for the Months Ending January 31, February 28, and March 31, 2027</w:t>
      </w:r>
    </w:p>
    <w:p>
      <w:pPr>
        <w:spacing w:after="0" w:line="1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GREENWICH, CT – 10/30/2026 – Oxford Square Capital Corp. (NasdaqGS: OXSQ) (NasdaqGS: OXSQG) (NasdaqGS: OXSQH) (the “Company,” “we,” “us” or “our”) announced today its financial results and related information for the quarter ended September 30, 2026.</w:t>
      </w:r>
    </w:p>
    <w:p>
      <w:pPr>
        <w:spacing w:after="0" w:line="16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On October 28, 2026, our Board of Directors declared the following distributions on our common stock:</w:t>
      </w:r>
    </w:p>
    <w:p>
      <w:pPr>
        <w:spacing w:after="0" w:line="223" w:lineRule="exact"/>
        <w:rPr>
          <w:sz w:val="20"/>
          <w:szCs w:val="20"/>
          <w:color w:val="auto"/>
        </w:rPr>
      </w:pPr>
    </w:p>
    <w:tbl>
      <w:tblPr>
        <w:tblLayout w:type="fixed"/>
        <w:tblInd w:w="1150" w:type="dxa"/>
        <w:tblCellMar>
          <w:top w:w="0" w:type="dxa"/>
          <w:left w:w="0" w:type="dxa"/>
          <w:bottom w:w="0" w:type="dxa"/>
          <w:right w:w="0" w:type="dxa"/>
        </w:tblCellMar>
      </w:tblPr>
      <w:tr>
        <w:trPr>
          <w:trHeight w:val="229"/>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Ending</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Per Share</w:t>
            </w:r>
          </w:p>
        </w:tc>
      </w:tr>
      <w:tr>
        <w:trPr>
          <w:trHeight w:val="210"/>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31, 2027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15, 2027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29, 2027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$0.015</w:t>
            </w:r>
          </w:p>
        </w:tc>
      </w:tr>
      <w:tr>
        <w:trPr>
          <w:trHeight w:val="209"/>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28, 2027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12, 2027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26, 2027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$0.015</w:t>
            </w:r>
          </w:p>
        </w:tc>
      </w:tr>
      <w:tr>
        <w:trPr>
          <w:trHeight w:val="210"/>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17, 2027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$0.015</w:t>
            </w:r>
          </w:p>
        </w:tc>
      </w:tr>
    </w:tbl>
    <w:p>
      <w:pPr>
        <w:spacing w:after="0" w:line="198"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Net asset value (“NAV”) per share as of September 30, 2026, stood at $1.21, compared with a NAV per share on June 30, 2026 of $1.29.</w:t>
      </w:r>
    </w:p>
    <w:p>
      <w:pPr>
        <w:spacing w:after="0" w:line="224" w:lineRule="exact"/>
        <w:rPr>
          <w:sz w:val="20"/>
          <w:szCs w:val="20"/>
          <w:color w:val="auto"/>
        </w:rPr>
      </w:pPr>
    </w:p>
    <w:p>
      <w:pPr>
        <w:ind w:left="660" w:right="380" w:hanging="319"/>
        <w:spacing w:after="0" w:line="281"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Net investment income (“NII”) was approximately $4.9 million, or $0.04 per share, for the quarter ended September 30, 2026, compared with approximately $5.1 million, or $0.05 per share, for the quarter ended June 30, 2026.</w:t>
      </w:r>
    </w:p>
    <w:p>
      <w:pPr>
        <w:spacing w:after="0" w:line="162" w:lineRule="exact"/>
        <w:rPr>
          <w:sz w:val="20"/>
          <w:szCs w:val="20"/>
          <w:color w:val="auto"/>
        </w:rPr>
      </w:pPr>
    </w:p>
    <w:p>
      <w:pPr>
        <w:ind w:left="660" w:right="220" w:hanging="319"/>
        <w:spacing w:after="0" w:line="281" w:lineRule="auto"/>
        <w:tabs>
          <w:tab w:leader="none" w:pos="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Total investment income for the quarter ended September 30, 2026 amounted to approximately $9.9 million, compared with approximately $9.4 million for the quarter ended June 30, 2026.</w:t>
      </w:r>
    </w:p>
    <w:p>
      <w:pPr>
        <w:spacing w:after="0" w:line="162" w:lineRule="exact"/>
        <w:rPr>
          <w:sz w:val="20"/>
          <w:szCs w:val="20"/>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quarter ended September 30, 2026 we recorded investment income from our portfolio as follows:</w:t>
      </w:r>
    </w:p>
    <w:p>
      <w:pPr>
        <w:spacing w:after="0" w:line="224" w:lineRule="exact"/>
        <w:rPr>
          <w:rFonts w:ascii="Arial" w:cs="Arial" w:eastAsia="Arial" w:hAnsi="Arial"/>
          <w:sz w:val="18"/>
          <w:szCs w:val="18"/>
          <w:b w:val="1"/>
          <w:bCs w:val="1"/>
          <w:color w:val="auto"/>
        </w:rPr>
      </w:pPr>
    </w:p>
    <w:p>
      <w:pPr>
        <w:ind w:left="1960" w:hanging="332"/>
        <w:spacing w:after="0"/>
        <w:tabs>
          <w:tab w:leader="none" w:pos="1960" w:val="left"/>
        </w:tabs>
        <w:numPr>
          <w:ilvl w:val="2"/>
          <w:numId w:val="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$5.6 million from our debt investments;</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$3.6 million from our CLO equity investments; and</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$0.6 million from other income.</w:t>
      </w:r>
    </w:p>
    <w:p>
      <w:pPr>
        <w:spacing w:after="0" w:line="225" w:lineRule="exact"/>
        <w:rPr>
          <w:rFonts w:ascii="Wingdings" w:cs="Wingdings" w:eastAsia="Wingdings" w:hAnsi="Wingdings"/>
          <w:sz w:val="18"/>
          <w:szCs w:val="18"/>
          <w:b w:val="1"/>
          <w:bCs w:val="1"/>
          <w:color w:val="auto"/>
        </w:rPr>
      </w:pPr>
    </w:p>
    <w:p>
      <w:pPr>
        <w:ind w:left="66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total expenses for the quarter ended September 30, 2026 were approximately $5.0 million, compared with total expenses of approximately $4.3 million for the quarter ended June 30, 2026.</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September 30, 2026, the following metrics applied (note that none of these metrics represented a total return to shareholders):</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weighted average yield of our debt investments was 15.0% at current cost, compared with 14.9% as of June 30, 2026;</w:t>
      </w:r>
    </w:p>
    <w:p>
      <w:pPr>
        <w:spacing w:after="0" w:line="224" w:lineRule="exact"/>
        <w:rPr>
          <w:rFonts w:ascii="Arial" w:cs="Arial" w:eastAsia="Arial" w:hAnsi="Arial"/>
          <w:sz w:val="18"/>
          <w:szCs w:val="18"/>
          <w:b w:val="1"/>
          <w:bCs w:val="1"/>
          <w:color w:val="auto"/>
        </w:rPr>
      </w:pPr>
    </w:p>
    <w:p>
      <w:pPr>
        <w:ind w:left="1300" w:hanging="320"/>
        <w:spacing w:after="0" w:line="281" w:lineRule="auto"/>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weighted average effective yield of our CLO equity investments at current cost was 8.1%, which was approximately the same as of June 30, 2026;</w:t>
      </w:r>
    </w:p>
    <w:p>
      <w:pPr>
        <w:spacing w:after="0" w:line="162" w:lineRule="exact"/>
        <w:rPr>
          <w:rFonts w:ascii="Arial" w:cs="Arial" w:eastAsia="Arial" w:hAnsi="Arial"/>
          <w:sz w:val="18"/>
          <w:szCs w:val="18"/>
          <w:b w:val="1"/>
          <w:bCs w:val="1"/>
          <w:color w:val="auto"/>
        </w:rPr>
      </w:pPr>
    </w:p>
    <w:p>
      <w:pPr>
        <w:ind w:left="1300" w:hanging="320"/>
        <w:spacing w:after="0" w:line="281" w:lineRule="auto"/>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weighted average cash distribution yield of our cash income producing senior secured note investments at current cost was 8.1%, compared with 8.0% as of June 30, 2026; and</w:t>
      </w:r>
    </w:p>
    <w:p>
      <w:pPr>
        <w:spacing w:after="0" w:line="162" w:lineRule="exact"/>
        <w:rPr>
          <w:rFonts w:ascii="Arial" w:cs="Arial" w:eastAsia="Arial" w:hAnsi="Arial"/>
          <w:sz w:val="18"/>
          <w:szCs w:val="18"/>
          <w:b w:val="1"/>
          <w:bCs w:val="1"/>
          <w:color w:val="auto"/>
        </w:rPr>
      </w:pPr>
    </w:p>
    <w:p>
      <w:pPr>
        <w:ind w:left="1300" w:hanging="320"/>
        <w:spacing w:after="0" w:line="281" w:lineRule="auto"/>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weighted average cash distribution yield of our cash income producing CLO equity investments at current cost was 12.0%, compared with 12.4% as of June 30, 2026.</w:t>
      </w:r>
    </w:p>
    <w:p>
      <w:pPr>
        <w:spacing w:after="0" w:line="162" w:lineRule="exact"/>
        <w:rPr>
          <w:rFonts w:ascii="Arial" w:cs="Arial" w:eastAsia="Arial" w:hAnsi="Arial"/>
          <w:sz w:val="18"/>
          <w:szCs w:val="18"/>
          <w:b w:val="1"/>
          <w:bCs w:val="1"/>
          <w:color w:val="auto"/>
        </w:rPr>
      </w:pPr>
    </w:p>
    <w:p>
      <w:pPr>
        <w:ind w:left="660" w:right="52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quarter ended September 30, 2026, we recorded a net increase in net assets resulting from operations of approximately $1.6 million, consisting of:</w:t>
      </w:r>
    </w:p>
    <w:p>
      <w:pPr>
        <w:spacing w:after="0" w:line="162"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NII of approximately $4.9 million;</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realized losses of approximately $11.3 million; and</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unrealized appreciation of approximately $7.9 million.</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During the third quarter of 2026, our investment activity consisted of purchases of approximately $20.8 million and repayments of approximately $10.3 million. No sales were made during the quarter.</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weighted average credit rating was 2.2 based on total fair value and 2.3 based on total principal amount as of September 30, 2026, compared with a weighted average credit rating of 2.1 based on total fair value and 2.2 based on total principal amount as of June 30,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September 30, 2026, our preferred equity investments in one of our portfolio companies were on non-accrual status, which had an aggregate fair value of approximately $6.8 million.</w:t>
      </w:r>
    </w:p>
    <w:p>
      <w:pPr>
        <w:spacing w:after="0" w:line="162" w:lineRule="exact"/>
        <w:rPr>
          <w:rFonts w:ascii="Arial" w:cs="Arial" w:eastAsia="Arial" w:hAnsi="Arial"/>
          <w:sz w:val="18"/>
          <w:szCs w:val="18"/>
          <w:b w:val="1"/>
          <w:bCs w:val="1"/>
          <w:color w:val="auto"/>
        </w:rPr>
      </w:pPr>
    </w:p>
    <w:p>
      <w:pPr>
        <w:jc w:val="both"/>
        <w:ind w:left="660" w:right="40" w:hanging="328"/>
        <w:spacing w:after="0" w:line="265"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quarter ended September 30, 2026, we issued a total of approximately 14.1 million shares of common stock pursuant to an “at-the-market” offering. After deducting the sales agent’s commissions and offering expenses, this resulted in net proceeds of approximately $19.4 million. As of September 30, 2026, we had approximately 120.0 million shares of common stock outstanding.</w:t>
      </w:r>
    </w:p>
    <w:p>
      <w:pPr>
        <w:spacing w:after="0" w:line="181" w:lineRule="exact"/>
        <w:rPr>
          <w:sz w:val="20"/>
          <w:szCs w:val="20"/>
          <w:color w:val="auto"/>
        </w:rPr>
      </w:pPr>
    </w:p>
    <w:p>
      <w:pPr>
        <w:jc w:val="both"/>
        <w:ind w:right="140"/>
        <w:spacing w:after="0" w:line="225" w:lineRule="auto"/>
        <w:rPr>
          <w:sz w:val="20"/>
          <w:szCs w:val="20"/>
          <w:color w:val="auto"/>
        </w:rPr>
      </w:pPr>
      <w:r>
        <w:rPr>
          <w:rFonts w:ascii="Times New Roman" w:cs="Times New Roman" w:eastAsia="Times New Roman" w:hAnsi="Times New Roman"/>
          <w:sz w:val="18"/>
          <w:szCs w:val="18"/>
          <w:color w:val="auto"/>
        </w:rPr>
        <w:t>We will hold a conference call to discuss third quarter results today, Friday, October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 at 9:00 AM ET. The toll-free dial-in number is 1-800-715-9871, access code number 5885175. There will be a recording available for 30 days. If you are interested in hearing the recording, please dial 1-800-770-2030. The replay passcode is 5885175#.</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presentation containing further detail regarding our quarterly results of operations has been posted under the Investor Relations section of our website at www.oxfordsquarecapital.com.</w:t>
      </w:r>
    </w:p>
    <w:p>
      <w:pPr>
        <w:sectPr>
          <w:pgSz w:w="11900" w:h="16838" w:orient="portrait"/>
          <w:cols w:equalWidth="0" w:num="1">
            <w:col w:w="11240"/>
          </w:cols>
          <w:pgMar w:left="320" w:top="124" w:right="339" w:bottom="0" w:gutter="0" w:footer="0" w:header="0"/>
        </w:sectPr>
      </w:pPr>
    </w:p>
    <w:bookmarkStart w:id="19" w:name="page20"/>
    <w:bookmarkEnd w:id="19"/>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868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OXFORD SQUARE CAPITAL CORP.</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Non-affiliated/non-control investments (cost: $380,691,717 and $390,403,599, respectively)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255,081,298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251,731,345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Controlled affiliate investment (cost: $5,000,000 and $0,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(cost: $42,822,297 and $51,236,068)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42,822,297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51,236,068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689,210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698,579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distributions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2,327,310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2,002,161</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1,157,126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1,070,958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307,077,241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306,739,111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5.50% Unsecured Notes, net of deferred issuance costs of $707,710 and $996,075,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79,792,290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79,503,925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 7.75% Unsecured Notes, net of deferred issuance costs of $2,193,859 and $2,621,662,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72,556,141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72,128,338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purchased, not settled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5,834,523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5,944,969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1,703,438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1,703,438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 Fee and Net Investment Income Incentive Fee payable to affiliate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1,029,470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1,036,058</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782,346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1,017,581</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161,698,208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161,334,309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300,000,000 shares authorized; 120,048,538 and 86,060,964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1,200,485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860,610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574,172,265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523,040,484</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distributable earnings/(accumulated losses)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(429,993,717)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(378,496,292)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145,379,033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145,404,802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307,077,241</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306,739,111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4"/>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8"/>
              </w:rPr>
              <w:t>OXFORD SQUARE CAPITAL CORP.</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60" w:type="dxa"/>
            <w:vAlign w:val="bottom"/>
            <w:gridSpan w:val="4"/>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160" w:type="dxa"/>
            <w:vAlign w:val="bottom"/>
            <w:gridSpan w:val="2"/>
          </w:tcPr>
          <w:p>
            <w:pPr>
              <w:jc w:val="center"/>
              <w:ind w:left="49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2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80" w:type="dxa"/>
            <w:vAlign w:val="bottom"/>
          </w:tcPr>
          <w:p>
            <w:pPr>
              <w:spacing w:after="0"/>
              <w:rPr>
                <w:sz w:val="18"/>
                <w:szCs w:val="18"/>
                <w:color w:val="auto"/>
              </w:rPr>
            </w:pPr>
          </w:p>
        </w:tc>
        <w:tc>
          <w:tcPr>
            <w:tcW w:w="11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60" w:type="dxa"/>
            <w:vAlign w:val="bottom"/>
          </w:tcPr>
          <w:p>
            <w:pPr>
              <w:spacing w:after="0"/>
              <w:rPr>
                <w:sz w:val="18"/>
                <w:szCs w:val="18"/>
                <w:color w:val="auto"/>
              </w:rPr>
            </w:pPr>
          </w:p>
        </w:tc>
        <w:tc>
          <w:tcPr>
            <w:tcW w:w="11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0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From non-affiliated/non-control 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Interest income – debt investments</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4,688,883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4,456,544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13,543,422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13,511,141</w:t>
            </w:r>
          </w:p>
        </w:tc>
        <w:tc>
          <w:tcPr>
            <w:tcW w:w="0" w:type="dxa"/>
            <w:vAlign w:val="bottom"/>
          </w:tcPr>
          <w:p>
            <w:pPr>
              <w:spacing w:after="0"/>
              <w:rPr>
                <w:sz w:val="1"/>
                <w:szCs w:val="1"/>
                <w:color w:val="auto"/>
              </w:rPr>
            </w:pPr>
          </w:p>
        </w:tc>
      </w:tr>
      <w:tr>
        <w:trPr>
          <w:trHeight w:val="257"/>
        </w:trPr>
        <w:tc>
          <w:tcPr>
            <w:tcW w:w="59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Interest income – debt investments – payment-in-kind (“PIK”)</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944,668</w:t>
            </w:r>
          </w:p>
        </w:tc>
        <w:tc>
          <w:tcPr>
            <w:tcW w:w="18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705,534</w:t>
            </w:r>
          </w:p>
        </w:tc>
        <w:tc>
          <w:tcPr>
            <w:tcW w:w="16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2,628,190</w:t>
            </w:r>
          </w:p>
        </w:tc>
        <w:tc>
          <w:tcPr>
            <w:tcW w:w="16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2,271,142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securitization vehicles and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3,623,609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4,298,003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10,356,553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12,109,128</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9"/>
                <w:szCs w:val="19"/>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649,471</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779,852</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1,723,237</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2,031,753</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 income from non-affiliated/non-control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9,906,631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10,239,933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28,251,402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investment income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9,906,631</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10,239,933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28,251,402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29,923,164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2,796,502</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2,559,400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8,381,637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6,447,732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 Fee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1,029,470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1,053,566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2,981,744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3,148,663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364,954</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351,582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1,153,068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1,119,285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297,901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254,096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776,994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721,969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504,166</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357,769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1,175,575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1,073,155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Excise tax</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104,778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(419,110)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250,179</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 before incentive fees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4,992,993</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4,681,191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14,049,908</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12,760,983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 Incentive Fees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incentive fees</w:t>
            </w:r>
          </w:p>
        </w:tc>
        <w:tc>
          <w:tcPr>
            <w:tcW w:w="180" w:type="dxa"/>
            <w:vAlign w:val="bottom"/>
          </w:tcPr>
          <w:p>
            <w:pPr>
              <w:spacing w:after="0"/>
              <w:rPr>
                <w:sz w:val="19"/>
                <w:szCs w:val="19"/>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4,992,993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4,681,191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14,049,908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12,760,983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4,913,638</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5,558,742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14,201,494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17,162,181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9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CHANGE IN UNREALIZED APPRECIATION/(DEPRECIATION)</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NET REALIZED LOSSES ON INVESTMENT TRANSACTIONS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on investments: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Non-affiliated/non-control investments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7,926,223</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(7,497,769)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13,061,835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(8,311,530)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net change in unrealized appreciation/(depreciation) on investments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7,926,223</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(7,497,769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13,061,835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(8,311,530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losses: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Non-affiliated/non-control investments</w:t>
            </w: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(11,275,801)</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(32,797)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(47,230,540)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(14,512,854)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Extinguishment of debt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(120,339)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(166,118)</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net realized losses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(11,275,801</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(47,230,540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(14,678,972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and realized losses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(3,349,578</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(7,650,905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(34,168,705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(22,990,502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increase/(decrease) in net assets resulting from operations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1,564,060</w:t>
            </w:r>
          </w:p>
        </w:tc>
        <w:tc>
          <w:tcPr>
            <w:tcW w:w="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(2,092,163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(19,967,211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(5,828,321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1"/>
        </w:trPr>
        <w:tc>
          <w:tcPr>
            <w:tcW w:w="59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increase in net assets resulting from net investment income per common</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(Basic and 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increase/(decrease) in net assets resulting from operations per common share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111,280,920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79,362,161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99,695,097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74,231,017</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0.105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0.105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0.315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 in prior period was made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HIGHLIGHTS (Unaudited)</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20" w:type="dxa"/>
            <w:vAlign w:val="bottom"/>
            <w:gridSpan w:val="11"/>
          </w:tcPr>
          <w:p>
            <w:pPr>
              <w:ind w:left="800"/>
              <w:spacing w:after="0"/>
              <w:rPr>
                <w:sz w:val="20"/>
                <w:szCs w:val="20"/>
                <w:color w:val="auto"/>
              </w:rPr>
            </w:pPr>
            <w:r>
              <w:rPr>
                <w:rFonts w:ascii="Times New Roman" w:cs="Times New Roman" w:eastAsia="Times New Roman" w:hAnsi="Times New Roman"/>
                <w:sz w:val="18"/>
                <w:szCs w:val="18"/>
                <w:color w:val="auto"/>
              </w:rPr>
              <w:t>Financial highlights for the three and nine months ended September 30, 2026 and 2025, respectively, are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4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80" w:type="dxa"/>
            <w:vAlign w:val="bottom"/>
          </w:tcPr>
          <w:p>
            <w:pPr>
              <w:spacing w:after="0"/>
              <w:rPr>
                <w:sz w:val="18"/>
                <w:szCs w:val="18"/>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60" w:type="dxa"/>
            <w:vAlign w:val="bottom"/>
          </w:tcPr>
          <w:p>
            <w:pPr>
              <w:spacing w:after="0"/>
              <w:rPr>
                <w:sz w:val="18"/>
                <w:szCs w:val="18"/>
                <w:color w:val="auto"/>
              </w:rPr>
            </w:pPr>
          </w:p>
        </w:tc>
        <w:tc>
          <w:tcPr>
            <w:tcW w:w="128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Net investment income</w:t>
            </w:r>
            <w:r>
              <w:rPr>
                <w:rFonts w:ascii="Times New Roman" w:cs="Times New Roman" w:eastAsia="Times New Roman" w:hAnsi="Times New Roman"/>
                <w:sz w:val="29"/>
                <w:szCs w:val="29"/>
                <w:color w:val="auto"/>
                <w:vertAlign w:val="superscript"/>
              </w:rPr>
              <w:t>(1)</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20"/>
                <w:szCs w:val="20"/>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Net realized and unrealized losses</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increase/(decrease) in net asset value from operations</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6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Distributions per share from net investment income</w:t>
            </w:r>
            <w:r>
              <w:rPr>
                <w:rFonts w:ascii="Times New Roman" w:cs="Times New Roman" w:eastAsia="Times New Roman" w:hAnsi="Times New Roman"/>
                <w:sz w:val="27"/>
                <w:szCs w:val="27"/>
                <w:color w:val="auto"/>
                <w:vertAlign w:val="superscript"/>
              </w:rPr>
              <w:t>(3)</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70"/>
        </w:trPr>
        <w:tc>
          <w:tcPr>
            <w:tcW w:w="56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Tax return of capital distributions</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distributions</w:t>
            </w:r>
            <w:r>
              <w:rPr>
                <w:rFonts w:ascii="Times New Roman" w:cs="Times New Roman" w:eastAsia="Times New Roman" w:hAnsi="Times New Roman"/>
                <w:sz w:val="29"/>
                <w:szCs w:val="29"/>
                <w:color w:val="auto"/>
                <w:vertAlign w:val="superscript"/>
              </w:rPr>
              <w:t>(3)</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shares issued</w:t>
            </w:r>
          </w:p>
        </w:tc>
        <w:tc>
          <w:tcPr>
            <w:tcW w:w="1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9"/>
                <w:szCs w:val="19"/>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9"/>
                <w:szCs w:val="19"/>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 share market value at beginning of period</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gridSpan w:val="2"/>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80" w:type="dxa"/>
            <w:vAlign w:val="bottom"/>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32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320" w:type="dxa"/>
            <w:vAlign w:val="bottom"/>
            <w:vMerge w:val="continue"/>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57"/>
        </w:trPr>
        <w:tc>
          <w:tcPr>
            <w:tcW w:w="5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22"/>
                <w:szCs w:val="22"/>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(24.74)%</w:t>
            </w:r>
          </w:p>
        </w:tc>
        <w:tc>
          <w:tcPr>
            <w:tcW w:w="160" w:type="dxa"/>
            <w:vAlign w:val="bottom"/>
          </w:tcPr>
          <w:p>
            <w:pPr>
              <w:spacing w:after="0"/>
              <w:rPr>
                <w:sz w:val="22"/>
                <w:szCs w:val="22"/>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57"/>
        </w:trPr>
        <w:tc>
          <w:tcPr>
            <w:tcW w:w="5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120,048,538</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81,669,408</w:t>
            </w:r>
          </w:p>
        </w:tc>
        <w:tc>
          <w:tcPr>
            <w:tcW w:w="16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120,048,538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81,669,408</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end of period (000’s)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145,379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158,955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145,379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158,955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net assets (000’s)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138,603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159,073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133,325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154,918</w:t>
            </w:r>
          </w:p>
        </w:tc>
        <w:tc>
          <w:tcPr>
            <w:tcW w:w="0" w:type="dxa"/>
            <w:vAlign w:val="bottom"/>
          </w:tcPr>
          <w:p>
            <w:pPr>
              <w:spacing w:after="0"/>
              <w:rPr>
                <w:sz w:val="1"/>
                <w:szCs w:val="1"/>
                <w:color w:val="auto"/>
              </w:rPr>
            </w:pPr>
          </w:p>
        </w:tc>
      </w:tr>
      <w:tr>
        <w:trPr>
          <w:trHeight w:val="257"/>
        </w:trPr>
        <w:tc>
          <w:tcPr>
            <w:tcW w:w="5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Ratio of expenses to average net assets</w:t>
            </w:r>
            <w:r>
              <w:rPr>
                <w:rFonts w:ascii="Times New Roman" w:cs="Times New Roman" w:eastAsia="Times New Roman" w:hAnsi="Times New Roman"/>
                <w:sz w:val="29"/>
                <w:szCs w:val="29"/>
                <w:color w:val="auto"/>
                <w:vertAlign w:val="superscript"/>
              </w:rPr>
              <w:t>(6)</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56"/>
        </w:trPr>
        <w:tc>
          <w:tcPr>
            <w:tcW w:w="5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Ratio of expenses, excluding interest expense, to average net assets</w:t>
            </w:r>
            <w:r>
              <w:rPr>
                <w:rFonts w:ascii="Times New Roman" w:cs="Times New Roman" w:eastAsia="Times New Roman" w:hAnsi="Times New Roman"/>
                <w:sz w:val="29"/>
                <w:szCs w:val="29"/>
                <w:color w:val="auto"/>
                <w:vertAlign w:val="superscript"/>
              </w:rPr>
              <w:t>(6)</w:t>
            </w:r>
          </w:p>
        </w:tc>
        <w:tc>
          <w:tcPr>
            <w:tcW w:w="1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tcPr>
          <w:p>
            <w:pPr>
              <w:spacing w:after="0"/>
              <w:rPr>
                <w:sz w:val="22"/>
                <w:szCs w:val="22"/>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22"/>
                <w:szCs w:val="22"/>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57"/>
        </w:trPr>
        <w:tc>
          <w:tcPr>
            <w:tcW w:w="5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Ratio of net investment income to average net assets</w:t>
            </w:r>
            <w:r>
              <w:rPr>
                <w:rFonts w:ascii="Times New Roman" w:cs="Times New Roman" w:eastAsia="Times New Roman" w:hAnsi="Times New Roman"/>
                <w:sz w:val="29"/>
                <w:szCs w:val="29"/>
                <w:color w:val="auto"/>
                <w:vertAlign w:val="superscript"/>
              </w:rPr>
              <w:t>(6)</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14.18%</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39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Portfolio turnover rate</w:t>
            </w:r>
            <w:r>
              <w:rPr>
                <w:rFonts w:ascii="Times New Roman" w:cs="Times New Roman" w:eastAsia="Times New Roman" w:hAnsi="Times New Roman"/>
                <w:sz w:val="29"/>
                <w:szCs w:val="29"/>
                <w:color w:val="auto"/>
                <w:vertAlign w:val="superscript"/>
              </w:rPr>
              <w:t>(7)</w:t>
            </w:r>
          </w:p>
        </w:tc>
        <w:tc>
          <w:tcPr>
            <w:tcW w:w="14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24"/>
                <w:szCs w:val="24"/>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Pr>
          <w:p>
            <w:pPr>
              <w:spacing w:after="0"/>
              <w:rPr>
                <w:sz w:val="24"/>
                <w:szCs w:val="24"/>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 share net investment income for the period, based upon weighted average shares outstanding.</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losses include rounding adjustments to reconcile change in net asset value per share.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 The amounts and sources of distributions reported are only estimates (based on an average of the reported tax character historically) and are not being provided for U.S. tax reporting purposes. For each of the three-month periods ended September 30, 2026 and 2025, distributions were $0.105 per share and are presented as $0.11 per share due to rounding. For the nine months ended September 30, 2026, distributions were $0.315 per share and are presented as $0.32 per share due to rounding. For the nine months ended September 30, 2025, distributions were $0.315 per share and are presented as $0.31 per share due to rounding.</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equals the increase or decrease of ending market value over beginning market value, plus distributions, divided by the beginning market value, assuming distribution reinvestment prices obtained under the Company’s distribution reinvestment plan. Total return is not annualized.</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equals the increase or decrease of ending net asset value over beginning net asset value, plus distributions, divided by the beginning net asset value. Total return is not annualized.</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and adjusted for one-time excise tax reversals.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the investment sales and debt repayments or investment purchases, over the average of the total 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About Oxford Square Capital Corp.</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Oxford Square Capital Corp. is a publicly-traded business development company principally investing in syndicated bank loans and, to a lesser extent, debt and equity tranches of collateralized loan obligation (“CLO”) vehicles. CLO investments may also include warehouse facilities, which are financing structures intended to aggregate loans that may be used to form the basis of a CLO vehicle.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subject to the inherent uncertainties in predicting future results and conditions. Any statements that are not statements of historical fact (including statements containing the words “believes,” “plans,” “anticipates,” “expects,” “estimates” and similar expressions) should also be considered to be forward-looking statements. These statements are not guarantees of future performance, conditions or results and involve a number of risks and uncertainties. Certain factors could cause actual results and conditions to differ materially from those projected in these forward-looking statements. These factors are identified from time to time in our filings with the Securities and Exchange Commission. We undertake no obligation to update such statements to reflect subsequent events, except as may be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Rubin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203-983-5280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1)"/>
      <w:numFmt w:val="lowerLetter"/>
      <w:start w:val="1"/>
    </w:lvl>
    <w:lvl w:ilvl="1">
      <w:lvlJc w:val="left"/>
      <w:lvlText w:val="(%2)"/>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1)"/>
      <w:numFmt w:val="lowerLetter"/>
      <w:start w:val="7"/>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8">
    <w:nsid w:val="66EF438D"/>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abstractNum>
  <w:abstractNum w:abstractNumId="9">
    <w:nsid w:val="140E0F76"/>
    <w:multiLevelType w:val="hybridMultilevel"/>
    <w:lvl w:ilvl="0">
      <w:lvlJc w:val="left"/>
      <w:lvlText w:val="%1"/>
      <w:numFmt w:val="lowerLetter"/>
      <w:start w:val="1"/>
    </w:lvl>
    <w:lvl w:ilvl="1">
      <w:lvlJc w:val="left"/>
      <w:lvlText w:val="(%2)"/>
      <w:numFmt w:val="decimal"/>
      <w:start w:val="3"/>
    </w:lvl>
  </w:abstractNum>
  <w:abstractNum w:abstractNumId="10">
    <w:nsid w:val="3352255A"/>
    <w:multiLevelType w:val="hybridMultilevel"/>
    <w:lvl w:ilvl="0">
      <w:lvlJc w:val="left"/>
      <w:lvlText w:val="(%1)"/>
      <w:numFmt w:val="lowerLetter"/>
      <w:start w:val="3"/>
    </w:lvl>
    <w:lvl w:ilvl="1">
      <w:lvlJc w:val="left"/>
      <w:lvlText w:val="%2"/>
      <w:numFmt w:val="decimal"/>
      <w:start w:val="1"/>
    </w:lvl>
  </w:abstractNum>
  <w:abstractNum w:abstractNumId="11">
    <w:nsid w:val="109CF92E"/>
    <w:multiLevelType w:val="hybridMultilevel"/>
    <w:lvl w:ilvl="0">
      <w:lvlJc w:val="left"/>
      <w:lvlText w:val="(%1)"/>
      <w:numFmt w:val="lowerLetter"/>
      <w:start w:val="4"/>
    </w:lvl>
    <w:lvl w:ilvl="1">
      <w:lvlJc w:val="left"/>
      <w:lvlText w:val="(%2)"/>
      <w:numFmt w:val="decimal"/>
      <w:start w:val="1"/>
    </w:lvl>
  </w:abstractNum>
  <w:abstractNum w:abstractNumId="12">
    <w:nsid w:val="DED7263"/>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2026-10-30T07:33:27Z</dcterms:created>
  <dcterms:modified xsi:type="dcterms:W3CDTF">2026-10-30T07:33:27Z</dcterms:modified>
</cp:coreProperties>
</file>