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117-01_8k.htm"/>
      <w:bookmarkStart w:id="1" w:name="ksea03001170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731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jc w:val="center"/>
        <w:rPr>
          <w:rFonts w:ascii="Times New Roman;Times;Serif" w:hAnsi="Times New Roman;Times;Serif"/>
          <w:b w:val="false"/>
          <w:i w:val="false"/>
          <w:caps w:val="false"/>
          <w:smallCaps w:val="false"/>
          <w:sz w:val="20"/>
        </w:rPr>
      </w:pPr>
      <w:bookmarkStart w:id="3" w:name="xdx_903_edei--DocumentPeriodEndDate_c202"/>
      <w:bookmarkEnd w:id="3"/>
      <w:r>
        <w:rPr>
          <w:rFonts w:ascii="Times New Roman;Times;Serif" w:hAnsi="Times New Roman;Times;Serif"/>
          <w:b w:val="false"/>
          <w:i w:val="false"/>
          <w:caps w:val="false"/>
          <w:smallCaps w:val="false"/>
          <w:sz w:val="20"/>
        </w:rPr>
        <w:t>July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A_edei--EntityRegistrantName_c2026"/>
      <w:bookmarkEnd w:id="4"/>
      <w:r>
        <w:rPr>
          <w:rFonts w:ascii="Times New Roman;Times;Serif" w:hAnsi="Times New Roman;Times;Serif"/>
          <w:b/>
          <w:i w:val="false"/>
          <w:caps w:val="false"/>
          <w:smallCaps w:val="false"/>
          <w:sz w:val="20"/>
        </w:rPr>
        <w:t>OXFORD SQUARE CAPITAL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050" w:type="dxa"/>
        <w:jc w:val="left"/>
        <w:tblInd w:w="0" w:type="dxa"/>
        <w:tblLayout w:type="fixed"/>
        <w:tblCellMar>
          <w:top w:w="0" w:type="dxa"/>
          <w:left w:w="0" w:type="dxa"/>
          <w:bottom w:w="28" w:type="dxa"/>
          <w:right w:w="0" w:type="dxa"/>
        </w:tblCellMar>
      </w:tblPr>
      <w:tblGrid>
        <w:gridCol w:w="2540"/>
        <w:gridCol w:w="60"/>
        <w:gridCol w:w="2615"/>
        <w:gridCol w:w="60"/>
        <w:gridCol w:w="1775"/>
      </w:tblGrid>
      <w:tr>
        <w:trPr/>
        <w:tc>
          <w:tcPr>
            <w:tcW w:w="2540" w:type="dxa"/>
            <w:tcBorders>
              <w:bottom w:val="single" w:sz="8" w:space="0" w:color="000000"/>
            </w:tcBorders>
            <w:vAlign w:val="center"/>
          </w:tcPr>
          <w:p>
            <w:pPr>
              <w:pStyle w:val="TableContents"/>
              <w:bidi w:val="0"/>
              <w:spacing w:before="0" w:after="283"/>
              <w:jc w:val="center"/>
              <w:rPr>
                <w:b/>
              </w:rPr>
            </w:pPr>
            <w:bookmarkStart w:id="5" w:name="xdx_90F_edei--EntityIncorporationStateCo"/>
            <w:bookmarkEnd w:id="5"/>
            <w:r>
              <w:rPr>
                <w:b/>
              </w:rPr>
              <w:t>Maryland</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8" w:space="0" w:color="000000"/>
            </w:tcBorders>
            <w:vAlign w:val="center"/>
          </w:tcPr>
          <w:p>
            <w:pPr>
              <w:pStyle w:val="TableContents"/>
              <w:bidi w:val="0"/>
              <w:spacing w:before="0" w:after="283"/>
              <w:jc w:val="center"/>
              <w:rPr>
                <w:b/>
              </w:rPr>
            </w:pPr>
            <w:bookmarkStart w:id="6" w:name="xdx_908_edei--EntityFileNumber_c20260731"/>
            <w:bookmarkEnd w:id="6"/>
            <w:r>
              <w:rPr>
                <w:b/>
              </w:rPr>
              <w:t>814-00638</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D_edei--EntityTaxIdentificationNum"/>
            <w:bookmarkEnd w:id="7"/>
            <w:r>
              <w:rPr>
                <w:b/>
              </w:rPr>
              <w:t>20-0188736</w:t>
            </w:r>
          </w:p>
        </w:tc>
      </w:tr>
      <w:tr>
        <w:trPr/>
        <w:tc>
          <w:tcPr>
            <w:tcW w:w="2540" w:type="dxa"/>
            <w:tcBorders/>
            <w:tcMar>
              <w:bottom w:w="0" w:type="dxa"/>
            </w:tcMar>
            <w:vAlign w:val="center"/>
          </w:tcPr>
          <w:p>
            <w:pPr>
              <w:pStyle w:val="TableContents"/>
              <w:bidi w:val="0"/>
              <w:spacing w:before="0" w:after="283"/>
              <w:jc w:val="center"/>
              <w:rPr/>
            </w:pPr>
            <w:r>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8 Sound Shore Drive, </w:t>
      </w:r>
      <w:bookmarkStart w:id="9" w:name="xdx_902_edei--EntityAddressAddressLine2_"/>
      <w:bookmarkEnd w:id="9"/>
      <w:r>
        <w:rPr>
          <w:rFonts w:ascii="Times New Roman;Times;Serif" w:hAnsi="Times New Roman;Times;Serif"/>
          <w:b/>
          <w:i w:val="false"/>
          <w:caps w:val="false"/>
          <w:smallCaps w:val="false"/>
          <w:sz w:val="20"/>
        </w:rPr>
        <w:t>Suite 255</w:t>
      </w:r>
    </w:p>
    <w:p>
      <w:pPr>
        <w:pStyle w:val="TextBody"/>
        <w:bidi w:val="0"/>
        <w:spacing w:before="0" w:after="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Greenwich, </w:t>
      </w:r>
      <w:bookmarkStart w:id="11" w:name="xdx_900_edei--EntityAddressStateOrProvin"/>
      <w:bookmarkEnd w:id="11"/>
      <w:r>
        <w:rPr>
          <w:rFonts w:ascii="Times New Roman;Times;Serif" w:hAnsi="Times New Roman;Times;Serif"/>
          <w:b/>
          <w:i w:val="false"/>
          <w:caps w:val="false"/>
          <w:smallCaps w:val="false"/>
          <w:sz w:val="20"/>
        </w:rPr>
        <w:t xml:space="preserve">CT </w:t>
      </w:r>
      <w:bookmarkStart w:id="12" w:name="xdx_90D_edei--EntityAddressPostalZipCode"/>
      <w:bookmarkEnd w:id="12"/>
      <w:r>
        <w:rPr>
          <w:rFonts w:ascii="Times New Roman;Times;Serif" w:hAnsi="Times New Roman;Times;Serif"/>
          <w:b/>
          <w:i w:val="false"/>
          <w:caps w:val="false"/>
          <w:smallCaps w:val="false"/>
          <w:sz w:val="20"/>
        </w:rPr>
        <w:t>06830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1_edei--CityAreaCode_c20260731__20"/>
      <w:bookmarkEnd w:id="13"/>
      <w:r>
        <w:rPr>
          <w:rFonts w:ascii="Times New Roman;Times;Serif" w:hAnsi="Times New Roman;Times;Serif"/>
          <w:b/>
          <w:i w:val="false"/>
          <w:caps w:val="false"/>
          <w:smallCaps w:val="false"/>
          <w:sz w:val="20"/>
        </w:rPr>
        <w:t xml:space="preserve">203) </w:t>
      </w:r>
      <w:bookmarkStart w:id="14" w:name="xdx_907_edei--LocalPhoneNumber_c20260731"/>
      <w:bookmarkEnd w:id="14"/>
      <w:r>
        <w:rPr>
          <w:rFonts w:ascii="Times New Roman;Times;Serif" w:hAnsi="Times New Roman;Times;Serif"/>
          <w:b/>
          <w:i w:val="false"/>
          <w:caps w:val="false"/>
          <w:smallCaps w:val="false"/>
          <w:sz w:val="20"/>
        </w:rPr>
        <w:t>983-5275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9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A_edei--SolicitingMaterial_c202607"/>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C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3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59"/>
        <w:gridCol w:w="60"/>
        <w:gridCol w:w="1883"/>
        <w:gridCol w:w="60"/>
        <w:gridCol w:w="4343"/>
      </w:tblGrid>
      <w:tr>
        <w:trPr/>
        <w:tc>
          <w:tcPr>
            <w:tcW w:w="3859"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83"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343"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3859" w:type="dxa"/>
            <w:tcBorders/>
            <w:shd w:fill="CCEEFF" w:val="clear"/>
            <w:tcMar>
              <w:bottom w:w="0" w:type="dxa"/>
            </w:tcMar>
            <w:vAlign w:val="center"/>
          </w:tcPr>
          <w:p>
            <w:pPr>
              <w:pStyle w:val="TableContents"/>
              <w:bidi w:val="0"/>
              <w:spacing w:before="0" w:after="283"/>
              <w:jc w:val="center"/>
              <w:rPr/>
            </w:pPr>
            <w:bookmarkStart w:id="19" w:name="xdx_90E_edei--Security12bTitle_c20260731"/>
            <w:bookmarkEnd w:id="19"/>
            <w:r>
              <w:rPr/>
              <w:t>Common stock, par value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83" w:type="dxa"/>
            <w:tcBorders/>
            <w:shd w:fill="CCEEFF" w:val="clear"/>
            <w:tcMar>
              <w:bottom w:w="0" w:type="dxa"/>
            </w:tcMar>
            <w:vAlign w:val="center"/>
          </w:tcPr>
          <w:p>
            <w:pPr>
              <w:pStyle w:val="TableContents"/>
              <w:bidi w:val="0"/>
              <w:spacing w:before="0" w:after="283"/>
              <w:jc w:val="center"/>
              <w:rPr/>
            </w:pPr>
            <w:bookmarkStart w:id="20" w:name="xdx_90A_edei--TradingSymbol_c20260731__2"/>
            <w:bookmarkEnd w:id="20"/>
            <w:r>
              <w:rPr/>
              <w:t>OXSQ</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43" w:type="dxa"/>
            <w:tcBorders/>
            <w:shd w:fill="CCEEFF" w:val="clear"/>
            <w:tcMar>
              <w:bottom w:w="0" w:type="dxa"/>
            </w:tcMar>
            <w:vAlign w:val="center"/>
          </w:tcPr>
          <w:p>
            <w:pPr>
              <w:pStyle w:val="TableContents"/>
              <w:bidi w:val="0"/>
              <w:spacing w:before="0" w:after="283"/>
              <w:jc w:val="center"/>
              <w:rPr/>
            </w:pPr>
            <w:bookmarkStart w:id="21" w:name="xdx_90B_edei--SecurityExchangeName_c2026"/>
            <w:bookmarkEnd w:id="21"/>
            <w:r>
              <w:rPr/>
              <w:t>NASDAQ Global Select Market LLC</w:t>
            </w:r>
          </w:p>
        </w:tc>
      </w:tr>
      <w:tr>
        <w:trPr/>
        <w:tc>
          <w:tcPr>
            <w:tcW w:w="3859" w:type="dxa"/>
            <w:tcBorders/>
            <w:shd w:fill="FFFFFF" w:val="clear"/>
            <w:tcMar>
              <w:bottom w:w="0" w:type="dxa"/>
            </w:tcMar>
            <w:vAlign w:val="center"/>
          </w:tcPr>
          <w:p>
            <w:pPr>
              <w:pStyle w:val="TableContents"/>
              <w:bidi w:val="0"/>
              <w:spacing w:before="0" w:after="283"/>
              <w:jc w:val="center"/>
              <w:rPr/>
            </w:pPr>
            <w:bookmarkStart w:id="22" w:name="xdx_900_edei--Security12bTitle_c20260731"/>
            <w:bookmarkEnd w:id="22"/>
            <w:r>
              <w:rPr/>
              <w:t>5.50% Notes due 2028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83" w:type="dxa"/>
            <w:tcBorders/>
            <w:shd w:fill="FFFFFF" w:val="clear"/>
            <w:tcMar>
              <w:bottom w:w="0" w:type="dxa"/>
            </w:tcMar>
            <w:vAlign w:val="center"/>
          </w:tcPr>
          <w:p>
            <w:pPr>
              <w:pStyle w:val="TableContents"/>
              <w:bidi w:val="0"/>
              <w:spacing w:before="0" w:after="283"/>
              <w:jc w:val="center"/>
              <w:rPr/>
            </w:pPr>
            <w:bookmarkStart w:id="23" w:name="xdx_903_edei--TradingSymbol_c20260731__2"/>
            <w:bookmarkEnd w:id="23"/>
            <w:r>
              <w:rPr/>
              <w:t>OXSQG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343" w:type="dxa"/>
            <w:tcBorders/>
            <w:shd w:fill="FFFFFF" w:val="clear"/>
            <w:tcMar>
              <w:bottom w:w="0" w:type="dxa"/>
            </w:tcMar>
            <w:vAlign w:val="center"/>
          </w:tcPr>
          <w:p>
            <w:pPr>
              <w:pStyle w:val="TableContents"/>
              <w:bidi w:val="0"/>
              <w:spacing w:before="0" w:after="283"/>
              <w:jc w:val="center"/>
              <w:rPr/>
            </w:pPr>
            <w:bookmarkStart w:id="24" w:name="xdx_90F_edei--SecurityExchangeName_c2026"/>
            <w:bookmarkEnd w:id="24"/>
            <w:r>
              <w:rPr/>
              <w:t>NASDAQ Global Select Market LLC</w:t>
            </w:r>
          </w:p>
        </w:tc>
      </w:tr>
      <w:tr>
        <w:trPr/>
        <w:tc>
          <w:tcPr>
            <w:tcW w:w="3859" w:type="dxa"/>
            <w:tcBorders/>
            <w:shd w:fill="CCEEFF" w:val="clear"/>
            <w:tcMar>
              <w:bottom w:w="0" w:type="dxa"/>
            </w:tcMar>
            <w:vAlign w:val="center"/>
          </w:tcPr>
          <w:p>
            <w:pPr>
              <w:pStyle w:val="TableContents"/>
              <w:bidi w:val="0"/>
              <w:spacing w:before="0" w:after="283"/>
              <w:jc w:val="center"/>
              <w:rPr/>
            </w:pPr>
            <w:bookmarkStart w:id="25" w:name="xdx_902_edei--Security12bTitle_c20260731"/>
            <w:bookmarkEnd w:id="25"/>
            <w:r>
              <w:rPr/>
              <w:t>7.75% Notes due 2030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83" w:type="dxa"/>
            <w:tcBorders/>
            <w:shd w:fill="CCEEFF" w:val="clear"/>
            <w:tcMar>
              <w:bottom w:w="0" w:type="dxa"/>
            </w:tcMar>
            <w:vAlign w:val="center"/>
          </w:tcPr>
          <w:p>
            <w:pPr>
              <w:pStyle w:val="TableContents"/>
              <w:bidi w:val="0"/>
              <w:spacing w:before="0" w:after="283"/>
              <w:jc w:val="center"/>
              <w:rPr/>
            </w:pPr>
            <w:bookmarkStart w:id="26" w:name="xdx_90A_edei--TradingSymbol_c20260731__2"/>
            <w:bookmarkEnd w:id="26"/>
            <w:r>
              <w:rPr/>
              <w:t>OXSQH</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43" w:type="dxa"/>
            <w:tcBorders/>
            <w:shd w:fill="CCEEFF" w:val="clear"/>
            <w:tcMar>
              <w:bottom w:w="0" w:type="dxa"/>
            </w:tcMar>
            <w:vAlign w:val="center"/>
          </w:tcPr>
          <w:p>
            <w:pPr>
              <w:pStyle w:val="TableContents"/>
              <w:bidi w:val="0"/>
              <w:spacing w:before="0" w:after="283"/>
              <w:jc w:val="center"/>
              <w:rPr/>
            </w:pPr>
            <w:bookmarkStart w:id="27" w:name="xdx_907_edei--SecurityExchangeName_c2026"/>
            <w:bookmarkEnd w:id="27"/>
            <w:r>
              <w:rPr/>
              <w:t>NASDAQ Global Select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3_edei--EntityEmergingGrowthCompan"/>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Oxford Square Capital Corp.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a press release announcing its financial results for the second quarter ended June 30, 2026. The text of the press release is included as Exhibit 99.1 to this Form 8-K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72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28" w:type="dxa"/>
          <w:right w:w="0" w:type="dxa"/>
        </w:tblCellMar>
      </w:tblPr>
      <w:tblGrid>
        <w:gridCol w:w="1205"/>
        <w:gridCol w:w="60"/>
        <w:gridCol w:w="7670"/>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67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70" w:type="dxa"/>
            <w:tcBorders/>
            <w:shd w:fill="CCEEFF" w:val="clear"/>
            <w:tcMar>
              <w:bottom w:w="0" w:type="dxa"/>
            </w:tcMar>
            <w:vAlign w:val="center"/>
          </w:tcPr>
          <w:p>
            <w:pPr>
              <w:pStyle w:val="TableContents"/>
              <w:bidi w:val="0"/>
              <w:spacing w:before="0" w:after="283"/>
              <w:jc w:val="left"/>
              <w:rPr/>
            </w:pPr>
            <w:hyperlink w:anchor="ea0300117-01_ex991.htm">
              <w:r>
                <w:rPr>
                  <w:rStyle w:val="InternetLink"/>
                </w:rPr>
                <w:t>Press release dated July 31, 2026</w:t>
              </w:r>
            </w:hyperlink>
          </w:p>
        </w:tc>
      </w:tr>
      <w:tr>
        <w:trPr/>
        <w:tc>
          <w:tcPr>
            <w:tcW w:w="1205" w:type="dxa"/>
            <w:tcBorders/>
            <w:shd w:fill="FFFFFF" w:val="clear"/>
            <w:tcMar>
              <w:bottom w:w="0" w:type="dxa"/>
            </w:tcMar>
            <w:vAlign w:val="center"/>
          </w:tcPr>
          <w:p>
            <w:pPr>
              <w:pStyle w:val="TableContents"/>
              <w:bidi w:val="0"/>
              <w:spacing w:before="0" w:after="283"/>
              <w:jc w:val="left"/>
              <w:rPr/>
            </w:pPr>
            <w:r>
              <w:rPr/>
              <w:t xml:space="preserve">104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70" w:type="dxa"/>
            <w:tcBorders/>
            <w:shd w:fill="FFFF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859" w:type="dxa"/>
        <w:jc w:val="left"/>
        <w:tblInd w:w="0" w:type="dxa"/>
        <w:tblLayout w:type="fixed"/>
        <w:tblCellMar>
          <w:top w:w="0" w:type="dxa"/>
          <w:left w:w="0" w:type="dxa"/>
          <w:bottom w:w="0" w:type="dxa"/>
          <w:right w:w="0" w:type="dxa"/>
        </w:tblCellMar>
      </w:tblPr>
      <w:tblGrid>
        <w:gridCol w:w="1895"/>
        <w:gridCol w:w="608"/>
        <w:gridCol w:w="3356"/>
      </w:tblGrid>
      <w:tr>
        <w:trPr/>
        <w:tc>
          <w:tcPr>
            <w:tcW w:w="1895" w:type="dxa"/>
            <w:tcBorders/>
            <w:vAlign w:val="center"/>
          </w:tcPr>
          <w:p>
            <w:pPr>
              <w:pStyle w:val="TableContents"/>
              <w:bidi w:val="0"/>
              <w:spacing w:before="0" w:after="283"/>
              <w:jc w:val="left"/>
              <w:rPr/>
            </w:pPr>
            <w:r>
              <w:rPr/>
              <w:t>Date: July 31, 2026</w:t>
            </w:r>
          </w:p>
        </w:tc>
        <w:tc>
          <w:tcPr>
            <w:tcW w:w="3964" w:type="dxa"/>
            <w:gridSpan w:val="2"/>
            <w:tcBorders/>
            <w:vAlign w:val="center"/>
          </w:tcPr>
          <w:p>
            <w:pPr>
              <w:pStyle w:val="TableContents"/>
              <w:bidi w:val="0"/>
              <w:spacing w:before="0" w:after="283"/>
              <w:jc w:val="left"/>
              <w:rPr/>
            </w:pPr>
            <w:r>
              <w:rPr/>
              <w:t>OXFORD SQUARE CAPITAL CORP.</w:t>
            </w:r>
          </w:p>
        </w:tc>
      </w:tr>
      <w:tr>
        <w:trPr/>
        <w:tc>
          <w:tcPr>
            <w:tcW w:w="1895"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3356"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By:</w:t>
            </w:r>
          </w:p>
        </w:tc>
        <w:tc>
          <w:tcPr>
            <w:tcW w:w="3356" w:type="dxa"/>
            <w:tcBorders>
              <w:bottom w:val="single" w:sz="8" w:space="0" w:color="000000"/>
            </w:tcBorders>
            <w:tcMar>
              <w:bottom w:w="28" w:type="dxa"/>
            </w:tcMar>
            <w:vAlign w:val="center"/>
          </w:tcPr>
          <w:p>
            <w:pPr>
              <w:pStyle w:val="TableContents"/>
              <w:bidi w:val="0"/>
              <w:spacing w:before="0" w:after="283"/>
              <w:jc w:val="left"/>
              <w:rPr/>
            </w:pPr>
            <w:r>
              <w:rPr/>
              <w:t>/s/ Saul B. Rosenthal</w:t>
            </w:r>
          </w:p>
        </w:tc>
      </w:tr>
      <w:tr>
        <w:trPr/>
        <w:tc>
          <w:tcPr>
            <w:tcW w:w="1895"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3356" w:type="dxa"/>
            <w:tcBorders/>
            <w:vAlign w:val="center"/>
          </w:tcPr>
          <w:p>
            <w:pPr>
              <w:pStyle w:val="TableContents"/>
              <w:bidi w:val="0"/>
              <w:spacing w:before="0" w:after="283"/>
              <w:jc w:val="left"/>
              <w:rPr/>
            </w:pPr>
            <w:r>
              <w:rPr/>
              <w:t>Saul B. Rosenthal</w:t>
            </w:r>
          </w:p>
        </w:tc>
      </w:tr>
      <w:tr>
        <w:trPr/>
        <w:tc>
          <w:tcPr>
            <w:tcW w:w="1895"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3356" w:type="dxa"/>
            <w:tcBorders/>
            <w:vAlign w:val="center"/>
          </w:tcPr>
          <w:p>
            <w:pPr>
              <w:pStyle w:val="TableContents"/>
              <w:bidi w:val="0"/>
              <w:spacing w:before="0" w:after="283"/>
              <w:jc w:val="left"/>
              <w:rPr/>
            </w:pPr>
            <w:r>
              <w:rPr/>
              <w:t>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9" w:name="ea0300117-01_ex991.htm"/>
      <w:bookmarkStart w:id="30" w:name="ksea030011701_ex991"/>
      <w:bookmarkEnd w:id="29"/>
      <w:bookmarkEnd w:id="30"/>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Oxford Square Capital Corp. Announces Net Asset Value and Selected Financial Results for the Quarter Ended June 30, 2026 and Declaration of Distributions on Common Stock for the Months Ending October 31, November 30, and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CT – 7/31/2026 – Oxford Square Capital Corp. (NasdaqGS: OXSQ) (NasdaqGS: OXSQG) (NasdaqGS: OXSQH) (the “Company,” “we,” “us” or “our”) announced today its financial results and related information for the quarter ended June 30, 2026.</w:t>
      </w:r>
    </w:p>
    <w:p>
      <w:pPr>
        <w:pStyle w:val="TextBody"/>
        <w:bidi w:val="0"/>
        <w:spacing w:before="0" w:after="0"/>
        <w:ind w:left="0" w:right="0" w:hanging="0"/>
        <w:jc w:val="left"/>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25"/>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515" w:type="dxa"/>
            <w:tcBorders/>
            <w:vAlign w:val="center"/>
          </w:tcPr>
          <w:p>
            <w:pPr>
              <w:pStyle w:val="TableContents"/>
              <w:bidi w:val="0"/>
              <w:spacing w:before="0" w:after="283"/>
              <w:jc w:val="left"/>
              <w:rPr/>
            </w:pPr>
            <w:r>
              <w:rPr/>
              <w:t>On July 29, 2026, our Board of Directors declared the following distributions on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6485" w:type="dxa"/>
        <w:jc w:val="left"/>
        <w:tblInd w:w="-10" w:type="dxa"/>
        <w:tblLayout w:type="fixed"/>
        <w:tblCellMar>
          <w:top w:w="28" w:type="dxa"/>
          <w:left w:w="28" w:type="dxa"/>
          <w:bottom w:w="28" w:type="dxa"/>
          <w:right w:w="28" w:type="dxa"/>
        </w:tblCellMar>
      </w:tblPr>
      <w:tblGrid>
        <w:gridCol w:w="1640"/>
        <w:gridCol w:w="1625"/>
        <w:gridCol w:w="1625"/>
        <w:gridCol w:w="1595"/>
      </w:tblGrid>
      <w:tr>
        <w:trPr/>
        <w:tc>
          <w:tcPr>
            <w:tcW w:w="16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Month Ending</w:t>
            </w:r>
          </w:p>
        </w:tc>
        <w:tc>
          <w:tcPr>
            <w:tcW w:w="16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Record Date</w:t>
            </w:r>
          </w:p>
        </w:tc>
        <w:tc>
          <w:tcPr>
            <w:tcW w:w="16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Payment Date</w:t>
            </w:r>
          </w:p>
        </w:tc>
        <w:tc>
          <w:tcPr>
            <w:tcW w:w="15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Amount Per Share</w:t>
            </w:r>
          </w:p>
        </w:tc>
      </w:tr>
      <w:tr>
        <w:trPr/>
        <w:tc>
          <w:tcPr>
            <w:tcW w:w="16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October 31, 2026</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October 16, 2026</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October 30, 2026</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$0.035</w:t>
            </w:r>
          </w:p>
        </w:tc>
      </w:tr>
      <w:tr>
        <w:trPr/>
        <w:tc>
          <w:tcPr>
            <w:tcW w:w="16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November 30, 2026</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November 16, 2026</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November 30, 2026</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$0.035</w:t>
            </w:r>
          </w:p>
        </w:tc>
      </w:tr>
      <w:tr>
        <w:trPr/>
        <w:tc>
          <w:tcPr>
            <w:tcW w:w="16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December 31, 2026</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December 17, 2026</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December 31, 2026</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$0.035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Net asset value (“NAV”) per share as of June 30, 2026 stood at $1.29, compared with a NAV per share on March 31, 2026 of $1.32.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Net investment income (“NII”) was approximately $5.1 million, or $0.05 per share, for the quarter ended June 30, 2026, compared with approximately $4.1 million, or $0.05 per share, for the quarter ended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Total investment income for the quarter ended June 30, 2026 amounted to approximately $9.4 million, compared with approximately $8.9 million for the quarter ended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17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left"/>
              <w:rPr/>
            </w:pPr>
            <w:r>
              <w:rPr/>
              <w:t>For the quarter ended June 30, 2026 we recorded investment income from our portfolio as follows: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326"/>
        <w:gridCol w:w="9781"/>
      </w:tblGrid>
      <w:tr>
        <w:trPr/>
        <w:tc>
          <w:tcPr>
            <w:tcW w:w="9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rFonts w:ascii="Wingdings" w:hAnsi="Wingdings"/>
              </w:rPr>
            </w:pPr>
            <w:r>
              <w:rPr>
                <w:rFonts w:ascii="Wingdings" w:hAnsi="Wingdings"/>
              </w:rPr>
              <w:t>§</w:t>
            </w:r>
          </w:p>
        </w:tc>
        <w:tc>
          <w:tcPr>
            <w:tcW w:w="9781" w:type="dxa"/>
            <w:tcBorders/>
            <w:vAlign w:val="center"/>
          </w:tcPr>
          <w:p>
            <w:pPr>
              <w:pStyle w:val="TableContents"/>
              <w:bidi w:val="0"/>
              <w:spacing w:before="0" w:after="283"/>
              <w:jc w:val="left"/>
              <w:rPr/>
            </w:pPr>
            <w:r>
              <w:rPr/>
              <w:t>$5.4 million from our debt investments;</w:t>
            </w:r>
          </w:p>
        </w:tc>
      </w:tr>
    </w:tbl>
    <w:p>
      <w:pPr>
        <w:pStyle w:val="TextBody"/>
        <w:bidi w:val="0"/>
        <w:spacing w:before="0" w:after="0"/>
        <w:ind w:left="0" w:right="0" w:hanging="0"/>
        <w:jc w:val="left"/>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25"/>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4895" w:type="dxa"/>
            <w:tcBorders/>
            <w:vAlign w:val="center"/>
          </w:tcPr>
          <w:p>
            <w:pPr>
              <w:pStyle w:val="TableContents"/>
              <w:bidi w:val="0"/>
              <w:spacing w:before="0" w:after="283"/>
              <w:jc w:val="left"/>
              <w:rPr/>
            </w:pPr>
            <w:r>
              <w:rPr/>
              <w:t>$3.5 million from our CLO equity investments; and</w:t>
            </w:r>
          </w:p>
        </w:tc>
      </w:tr>
    </w:tbl>
    <w:p>
      <w:pPr>
        <w:pStyle w:val="TextBody"/>
        <w:bidi w:val="0"/>
        <w:spacing w:before="0" w:after="0"/>
        <w:ind w:left="0" w:right="0" w:hanging="0"/>
        <w:jc w:val="left"/>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12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3035" w:type="dxa"/>
            <w:tcBorders/>
            <w:vAlign w:val="center"/>
          </w:tcPr>
          <w:p>
            <w:pPr>
              <w:pStyle w:val="TableContents"/>
              <w:bidi w:val="0"/>
              <w:spacing w:before="0" w:after="283"/>
              <w:jc w:val="left"/>
              <w:rPr/>
            </w:pPr>
            <w:r>
              <w:rPr/>
              <w:t>$0.5 million from other income.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Our total expenses for the quarter ended June 30, 2026 were approximately $4.3 million, compared with total expenses of approximately $4.8 million for the quarter ended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As of June 30, 2026, the following metrics applied (note that none of these metrics represented a total return to shareholders):</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weighted average yield of our debt investments was 14.9% at current cost, compared with 14.7% as of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weighted average effective yield of our CLO equity investments at current cost was 8.1%, compared with 7.3% as of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weighted average cash distribution yield of our cash income producing senior secured note investments at current cost was 8.0%, compared with 8.0% as of March 31, 2026;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weighted average cash distribution yield of our cash income producing CLO equity investments at current cost was 12.4%, compared with 13.6% as of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For the quarter ended June 30, 2026, we recorded a net increase in net assets resulting from operations of approximately $4.0 million, consisting of:</w:t>
            </w:r>
          </w:p>
        </w:tc>
      </w:tr>
    </w:tbl>
    <w:tbl>
      <w:tblPr>
        <w:tblW w:w="3498" w:type="dxa"/>
        <w:jc w:val="left"/>
        <w:tblInd w:w="0" w:type="dxa"/>
        <w:tblLayout w:type="fixed"/>
        <w:tblCellMar>
          <w:top w:w="0" w:type="dxa"/>
          <w:left w:w="0" w:type="dxa"/>
          <w:bottom w:w="0" w:type="dxa"/>
          <w:right w:w="0" w:type="dxa"/>
        </w:tblCellMar>
      </w:tblPr>
      <w:tblGrid>
        <w:gridCol w:w="38"/>
        <w:gridCol w:w="17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left"/>
              <w:rPr/>
            </w:pPr>
            <w:r>
              <w:rPr/>
              <w:t>NII of approximately $5.1 million;</w:t>
            </w:r>
          </w:p>
        </w:tc>
      </w:tr>
    </w:tbl>
    <w:tbl>
      <w:tblPr>
        <w:tblW w:w="5328" w:type="dxa"/>
        <w:jc w:val="left"/>
        <w:tblInd w:w="0" w:type="dxa"/>
        <w:tblLayout w:type="fixed"/>
        <w:tblCellMar>
          <w:top w:w="0" w:type="dxa"/>
          <w:left w:w="0" w:type="dxa"/>
          <w:bottom w:w="0" w:type="dxa"/>
          <w:right w:w="0" w:type="dxa"/>
        </w:tblCellMar>
      </w:tblPr>
      <w:tblGrid>
        <w:gridCol w:w="38"/>
        <w:gridCol w:w="170"/>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left"/>
              <w:rPr/>
            </w:pPr>
            <w:r>
              <w:rPr/>
              <w:t>Net realized losses of approximately $5.2 million; and</w:t>
            </w:r>
          </w:p>
        </w:tc>
      </w:tr>
    </w:tbl>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left"/>
              <w:rPr/>
            </w:pPr>
            <w:r>
              <w:rPr/>
              <w:t>Net unrealized appreciation of approximately $4.1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During the second quarter of 2026, our investment activity consisted of purchases of approximately $19.9 million and repayments of approximately $0.5 million. No sales were made during the quarter.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Our weighted average credit rating was 2.1 based on total fair value and 2.2 based on total principal amount as of June 30, 2026, compared with a weighted average credit rating of 2.2 based on total fair value and 2.4 based on total principal amount as of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As of June 30, 2026, our preferred equity investments in one of our portfolio companies were on non-accrual status, which had an aggregate fair value of approximately $6.9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For the quarter ended June 30, 2026, we issued a total of approximately 11.3 million shares of common stock pursuant to an “at-the-market” offering. After deducting the sales agent’s commissions and offering expenses, this resulted in net proceeds of approximately $17.8 million. As of June 30, 2026, we had approximately 105.1 million shares of common stock outstanding.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hold a conference call to discuss second quarter results today, Friday, July 31st, 2026 at 9:00 AM ET. The toll-free dial-in number is 1-800-715-9871, access code number 8149397. There will be a recording available for 30 days. If you are interested in hearing the recording, please dial 1-800-770-2030. The replay pass-code is 8149397#.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presentation containing further detail regarding our quarterly results of operations has been posted under the Investor Relations section of our website at </w:t>
      </w:r>
      <w:r>
        <w:rPr>
          <w:rFonts w:ascii="Times New Roman;Times;Serif" w:hAnsi="Times New Roman;Times;Serif"/>
          <w:b w:val="false"/>
          <w:i w:val="false"/>
          <w:caps w:val="false"/>
          <w:smallCaps w:val="false"/>
          <w:color w:val="0000FF"/>
          <w:sz w:val="20"/>
          <w:u w:val="single"/>
        </w:rPr>
        <w:t>www.oxfordsquarecapital.com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OXFORD SQUARE CAPITAL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ASSETS AND LIABILITIES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28"/>
        <w:gridCol w:w="60"/>
        <w:gridCol w:w="140"/>
        <w:gridCol w:w="1295"/>
        <w:gridCol w:w="95"/>
        <w:gridCol w:w="60"/>
        <w:gridCol w:w="140"/>
        <w:gridCol w:w="1295"/>
        <w:gridCol w:w="92"/>
      </w:tblGrid>
      <w:tr>
        <w:trPr/>
        <w:tc>
          <w:tcPr>
            <w:tcW w:w="7028"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92" w:type="dxa"/>
            <w:tcBorders/>
            <w:vAlign w:val="center"/>
          </w:tcPr>
          <w:p>
            <w:pPr>
              <w:pStyle w:val="TableContents"/>
              <w:bidi w:val="0"/>
              <w:spacing w:before="0" w:after="283"/>
              <w:ind w:left="0" w:right="0" w:hanging="180"/>
              <w:jc w:val="left"/>
              <w:rPr/>
            </w:pPr>
            <w:r>
              <w:rPr/>
              <w:t> </w:t>
            </w:r>
          </w:p>
        </w:tc>
      </w:tr>
      <w:tr>
        <w:trPr/>
        <w:tc>
          <w:tcPr>
            <w:tcW w:w="70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180"/>
              <w:jc w:val="left"/>
              <w:rPr/>
            </w:pPr>
            <w:r>
              <w:rPr/>
              <w:t> </w:t>
            </w:r>
          </w:p>
        </w:tc>
      </w:tr>
      <w:tr>
        <w:trPr/>
        <w:tc>
          <w:tcPr>
            <w:tcW w:w="7028"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180"/>
              <w:jc w:val="left"/>
              <w:rPr/>
            </w:pPr>
            <w:r>
              <w:rPr/>
              <w:t> </w:t>
            </w:r>
          </w:p>
        </w:tc>
      </w:tr>
      <w:tr>
        <w:trPr/>
        <w:tc>
          <w:tcPr>
            <w:tcW w:w="7028" w:type="dxa"/>
            <w:tcBorders/>
            <w:shd w:fill="CCEEFF" w:val="clear"/>
            <w:vAlign w:val="center"/>
          </w:tcPr>
          <w:p>
            <w:pPr>
              <w:pStyle w:val="TableContents"/>
              <w:bidi w:val="0"/>
              <w:spacing w:before="0" w:after="283"/>
              <w:jc w:val="left"/>
              <w:rPr/>
            </w:pPr>
            <w:r>
              <w:rPr/>
              <w:t>Non-affiliated/non-control investments (cost: $386,379,336 and $390,403,599,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252,842,694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251,731,345</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7028" w:type="dxa"/>
            <w:tcBorders/>
            <w:shd w:fill="FFFFFF" w:val="clear"/>
            <w:vAlign w:val="center"/>
          </w:tcPr>
          <w:p>
            <w:pPr>
              <w:pStyle w:val="TableContents"/>
              <w:bidi w:val="0"/>
              <w:spacing w:before="0" w:after="283"/>
              <w:jc w:val="left"/>
              <w:rPr/>
            </w:pPr>
            <w:r>
              <w:rPr/>
              <w:t>Cash equivalents (cost of $32,770,267 and $51,236,068,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32,770,267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51,236,068</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7028"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1,837,775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698,579</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7028" w:type="dxa"/>
            <w:tcBorders/>
            <w:shd w:fill="FFFFFF" w:val="clear"/>
            <w:vAlign w:val="center"/>
          </w:tcPr>
          <w:p>
            <w:pPr>
              <w:pStyle w:val="TableContents"/>
              <w:bidi w:val="0"/>
              <w:spacing w:before="0" w:after="283"/>
              <w:jc w:val="left"/>
              <w:rPr/>
            </w:pPr>
            <w:r>
              <w:rPr/>
              <w:t>Interest and distributions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1,933,335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2,002,161</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7028"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1,220,982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1,070,958</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7028"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290,605,053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306,739,111</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7028"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7028" w:type="dxa"/>
            <w:tcBorders/>
            <w:shd w:fill="FFFFFF" w:val="clear"/>
            <w:vAlign w:val="center"/>
          </w:tcPr>
          <w:p>
            <w:pPr>
              <w:pStyle w:val="TableContents"/>
              <w:bidi w:val="0"/>
              <w:spacing w:before="0" w:after="283"/>
              <w:jc w:val="left"/>
              <w:rPr/>
            </w:pPr>
            <w:r>
              <w:rPr/>
              <w:t>Notes payable – 5.50% Unsecured Notes, net of deferred issuance costs of $804,888 and $996,075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79,695,112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79,503,925</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7028" w:type="dxa"/>
            <w:tcBorders/>
            <w:shd w:fill="CCEEFF" w:val="clear"/>
            <w:vAlign w:val="center"/>
          </w:tcPr>
          <w:p>
            <w:pPr>
              <w:pStyle w:val="TableContents"/>
              <w:bidi w:val="0"/>
              <w:spacing w:before="0" w:after="283"/>
              <w:jc w:val="left"/>
              <w:rPr/>
            </w:pPr>
            <w:r>
              <w:rPr/>
              <w:t>Notes payable – 7.75% Unsecured Notes, net of deferred issuance costs of $2,338,027 and $2,621,662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72,411,973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72,128,338</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7028" w:type="dxa"/>
            <w:tcBorders/>
            <w:shd w:fill="FFFFFF" w:val="clear"/>
            <w:vAlign w:val="center"/>
          </w:tcPr>
          <w:p>
            <w:pPr>
              <w:pStyle w:val="TableContents"/>
              <w:bidi w:val="0"/>
              <w:spacing w:before="0" w:after="283"/>
              <w:jc w:val="left"/>
              <w:rPr/>
            </w:pPr>
            <w:r>
              <w:rPr/>
              <w:t>Accrued interest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1,703,438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1,703,438</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7028" w:type="dxa"/>
            <w:tcBorders/>
            <w:shd w:fill="CCEEFF" w:val="clear"/>
            <w:vAlign w:val="center"/>
          </w:tcPr>
          <w:p>
            <w:pPr>
              <w:pStyle w:val="TableContents"/>
              <w:bidi w:val="0"/>
              <w:spacing w:before="0" w:after="283"/>
              <w:jc w:val="left"/>
              <w:rPr/>
            </w:pPr>
            <w:r>
              <w:rPr/>
              <w:t>Base Fee and Net Investment Income Incentive Fee payable to affiliate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961,643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1,036,058</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7028"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804,942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1,017,581</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7028" w:type="dxa"/>
            <w:tcBorders/>
            <w:shd w:fill="CCEEFF" w:val="clear"/>
            <w:vAlign w:val="center"/>
          </w:tcPr>
          <w:p>
            <w:pPr>
              <w:pStyle w:val="TableContents"/>
              <w:bidi w:val="0"/>
              <w:spacing w:before="0" w:after="283"/>
              <w:jc w:val="left"/>
              <w:rPr/>
            </w:pPr>
            <w:r>
              <w:rPr/>
              <w:t>Securities purchased not settled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5,944,969</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7028"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155,577,108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161,334,309</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70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7028" w:type="dxa"/>
            <w:tcBorders/>
            <w:shd w:fill="FFFFFF" w:val="clear"/>
            <w:vAlign w:val="center"/>
          </w:tcPr>
          <w:p>
            <w:pPr>
              <w:pStyle w:val="TableContents"/>
              <w:bidi w:val="0"/>
              <w:spacing w:before="0" w:after="283"/>
              <w:jc w:val="left"/>
              <w:rPr>
                <w:b/>
              </w:rPr>
            </w:pPr>
            <w:r>
              <w:rPr>
                <w:b/>
              </w:rPr>
              <w:t>NET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7028" w:type="dxa"/>
            <w:tcBorders/>
            <w:shd w:fill="CCEEFF" w:val="clear"/>
            <w:vAlign w:val="center"/>
          </w:tcPr>
          <w:p>
            <w:pPr>
              <w:pStyle w:val="TableContents"/>
              <w:bidi w:val="0"/>
              <w:spacing w:before="0" w:after="283"/>
              <w:jc w:val="left"/>
              <w:rPr/>
            </w:pPr>
            <w:r>
              <w:rPr/>
              <w:t>Common stock, $0.01 par value, 300,000,000 shares authorized; 105,058,242 and 86,060,964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1,050,583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860,610</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7028" w:type="dxa"/>
            <w:tcBorders/>
            <w:shd w:fill="FFFFFF" w:val="clear"/>
            <w:vAlign w:val="center"/>
          </w:tcPr>
          <w:p>
            <w:pPr>
              <w:pStyle w:val="TableContents"/>
              <w:bidi w:val="0"/>
              <w:spacing w:before="0" w:after="283"/>
              <w:jc w:val="left"/>
              <w:rPr/>
            </w:pPr>
            <w:r>
              <w:rPr/>
              <w:t>Capital in excess of par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553,787,659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523,040,484</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7028" w:type="dxa"/>
            <w:tcBorders/>
            <w:shd w:fill="CCEEFF" w:val="clear"/>
            <w:vAlign w:val="center"/>
          </w:tcPr>
          <w:p>
            <w:pPr>
              <w:pStyle w:val="TableContents"/>
              <w:bidi w:val="0"/>
              <w:spacing w:before="0" w:after="283"/>
              <w:jc w:val="left"/>
              <w:rPr/>
            </w:pPr>
            <w:r>
              <w:rPr/>
              <w:t>Total distributable earnings/(accumulated losses)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(419,810,297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(378,496,292</w:t>
            </w:r>
          </w:p>
        </w:tc>
        <w:tc>
          <w:tcPr>
            <w:tcW w:w="92" w:type="dxa"/>
            <w:tcBorders/>
            <w:shd w:fill="CCEEFF" w:val="clear"/>
            <w:vAlign w:val="center"/>
          </w:tcPr>
          <w:p>
            <w:pPr>
              <w:pStyle w:val="TableContents"/>
              <w:bidi w:val="0"/>
              <w:spacing w:before="0" w:after="283"/>
              <w:ind w:left="0" w:right="0" w:hanging="180"/>
              <w:jc w:val="left"/>
              <w:rPr/>
            </w:pPr>
            <w:r>
              <w:rPr/>
              <w:t>)</w:t>
            </w:r>
          </w:p>
        </w:tc>
      </w:tr>
      <w:tr>
        <w:trPr/>
        <w:tc>
          <w:tcPr>
            <w:tcW w:w="7028" w:type="dxa"/>
            <w:tcBorders/>
            <w:shd w:fill="FFFFFF" w:val="clear"/>
            <w:vAlign w:val="center"/>
          </w:tcPr>
          <w:p>
            <w:pPr>
              <w:pStyle w:val="TableContents"/>
              <w:bidi w:val="0"/>
              <w:spacing w:before="0" w:after="283"/>
              <w:jc w:val="left"/>
              <w:rPr/>
            </w:pPr>
            <w:r>
              <w:rPr/>
              <w:t>Total net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135,027,945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145,404,802</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7028" w:type="dxa"/>
            <w:tcBorders/>
            <w:shd w:fill="CCEEFF" w:val="clear"/>
            <w:vAlign w:val="center"/>
          </w:tcPr>
          <w:p>
            <w:pPr>
              <w:pStyle w:val="TableContents"/>
              <w:bidi w:val="0"/>
              <w:spacing w:before="0" w:after="283"/>
              <w:jc w:val="left"/>
              <w:rPr/>
            </w:pPr>
            <w:r>
              <w:rPr/>
              <w:t>Total liabilities and net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290,605,053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306,739,111</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7028" w:type="dxa"/>
            <w:tcBorders/>
            <w:shd w:fill="FFFFFF" w:val="clear"/>
            <w:vAlign w:val="center"/>
          </w:tcPr>
          <w:p>
            <w:pPr>
              <w:pStyle w:val="TableContents"/>
              <w:bidi w:val="0"/>
              <w:spacing w:before="0" w:after="283"/>
              <w:jc w:val="left"/>
              <w:rPr/>
            </w:pPr>
            <w:r>
              <w:rPr/>
              <w:t>Net asset value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1.69</w:t>
            </w:r>
          </w:p>
        </w:tc>
        <w:tc>
          <w:tcPr>
            <w:tcW w:w="9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rPr>
      </w:pPr>
      <w:r>
        <w:rPr>
          <w:b/>
        </w:rPr>
        <w:t>OXFORD SQUARE CAPITAL CORP.</w:t>
      </w:r>
    </w:p>
    <w:p>
      <w:pPr>
        <w:pStyle w:val="TextBody"/>
        <w:bidi w:val="0"/>
        <w:jc w:val="center"/>
        <w:rPr/>
      </w:pPr>
      <w:r>
        <w:rPr/>
        <w:t> </w:t>
      </w:r>
    </w:p>
    <w:p>
      <w:pPr>
        <w:pStyle w:val="TextBody"/>
        <w:bidi w:val="0"/>
        <w:jc w:val="center"/>
        <w:rPr>
          <w:b/>
        </w:rPr>
      </w:pPr>
      <w:r>
        <w:rPr>
          <w:b/>
        </w:rPr>
        <w:t xml:space="preserve">STATEMENTS OF OPERATIONS </w:t>
        <w:br/>
        <w:t>(Unaudited)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374"/>
        <w:gridCol w:w="60"/>
        <w:gridCol w:w="144"/>
        <w:gridCol w:w="1135"/>
        <w:gridCol w:w="95"/>
        <w:gridCol w:w="60"/>
        <w:gridCol w:w="144"/>
        <w:gridCol w:w="1135"/>
        <w:gridCol w:w="95"/>
        <w:gridCol w:w="60"/>
        <w:gridCol w:w="141"/>
        <w:gridCol w:w="1190"/>
        <w:gridCol w:w="95"/>
        <w:gridCol w:w="60"/>
        <w:gridCol w:w="141"/>
        <w:gridCol w:w="1190"/>
        <w:gridCol w:w="86"/>
      </w:tblGrid>
      <w:tr>
        <w:trPr/>
        <w:tc>
          <w:tcPr>
            <w:tcW w:w="437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 xml:space="preserve">Ended </w:t>
              <w:b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 xml:space="preserve">Ended </w:t>
              <w:b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w:t>
              <w:br/>
              <w:t xml:space="preserve">Ended </w:t>
              <w:b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w:t>
              <w:br/>
              <w:t xml:space="preserve">Ended </w:t>
              <w:br/>
              <w:t>June 30, 2025</w:t>
            </w:r>
          </w:p>
        </w:tc>
        <w:tc>
          <w:tcPr>
            <w:tcW w:w="86" w:type="dxa"/>
            <w:tcBorders/>
            <w:vAlign w:val="center"/>
          </w:tcPr>
          <w:p>
            <w:pPr>
              <w:pStyle w:val="TableContents"/>
              <w:bidi w:val="0"/>
              <w:spacing w:before="0" w:after="283"/>
              <w:ind w:left="0" w:right="0" w:hanging="180"/>
              <w:jc w:val="left"/>
              <w:rPr/>
            </w:pPr>
            <w:r>
              <w:rPr/>
              <w:t> </w:t>
            </w:r>
          </w:p>
        </w:tc>
      </w:tr>
      <w:tr>
        <w:trPr/>
        <w:tc>
          <w:tcPr>
            <w:tcW w:w="4374" w:type="dxa"/>
            <w:tcBorders/>
            <w:vAlign w:val="center"/>
          </w:tcPr>
          <w:p>
            <w:pPr>
              <w:pStyle w:val="TableContents"/>
              <w:bidi w:val="0"/>
              <w:spacing w:before="0" w:after="283"/>
              <w:jc w:val="left"/>
              <w:rPr>
                <w:b/>
              </w:rPr>
            </w:pPr>
            <w:r>
              <w:rPr>
                <w:b/>
              </w:rPr>
              <w:t>INVESTMENT INCOME</w:t>
            </w:r>
          </w:p>
        </w:tc>
        <w:tc>
          <w:tcPr>
            <w:tcW w:w="6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1"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4374" w:type="dxa"/>
            <w:tcBorders/>
            <w:vAlign w:val="center"/>
          </w:tcPr>
          <w:p>
            <w:pPr>
              <w:pStyle w:val="TableContents"/>
              <w:bidi w:val="0"/>
              <w:spacing w:before="0" w:after="283"/>
              <w:jc w:val="left"/>
              <w:rPr/>
            </w:pPr>
            <w:r>
              <w:rPr/>
              <w:t>From non-affiliated/non-control investments:</w:t>
            </w:r>
          </w:p>
        </w:tc>
        <w:tc>
          <w:tcPr>
            <w:tcW w:w="6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1"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4374" w:type="dxa"/>
            <w:tcBorders/>
            <w:shd w:fill="CCEEFF" w:val="clear"/>
            <w:vAlign w:val="center"/>
          </w:tcPr>
          <w:p>
            <w:pPr>
              <w:pStyle w:val="TableContents"/>
              <w:bidi w:val="0"/>
              <w:spacing w:before="0" w:after="283"/>
              <w:jc w:val="left"/>
              <w:rPr/>
            </w:pPr>
            <w:r>
              <w:rPr/>
              <w:t>Interest income – debt investments</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5" w:type="dxa"/>
            <w:tcBorders/>
            <w:shd w:fill="CCEEFF" w:val="clear"/>
            <w:vAlign w:val="center"/>
          </w:tcPr>
          <w:p>
            <w:pPr>
              <w:pStyle w:val="TableContents"/>
              <w:bidi w:val="0"/>
              <w:spacing w:before="0" w:after="283"/>
              <w:jc w:val="right"/>
              <w:rPr/>
            </w:pPr>
            <w:r>
              <w:rPr/>
              <w:t>4,535,789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5" w:type="dxa"/>
            <w:tcBorders/>
            <w:shd w:fill="CCEEFF" w:val="clear"/>
            <w:vAlign w:val="center"/>
          </w:tcPr>
          <w:p>
            <w:pPr>
              <w:pStyle w:val="TableContents"/>
              <w:bidi w:val="0"/>
              <w:spacing w:before="0" w:after="283"/>
              <w:jc w:val="right"/>
              <w:rPr/>
            </w:pPr>
            <w:r>
              <w:rPr/>
              <w:t>4,228,193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8,854,539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9,054,597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374" w:type="dxa"/>
            <w:tcBorders/>
            <w:shd w:fill="FFFFFF" w:val="clear"/>
            <w:vAlign w:val="center"/>
          </w:tcPr>
          <w:p>
            <w:pPr>
              <w:pStyle w:val="TableContents"/>
              <w:bidi w:val="0"/>
              <w:spacing w:before="0" w:after="283"/>
              <w:jc w:val="left"/>
              <w:rPr/>
            </w:pPr>
            <w:r>
              <w:rPr/>
              <w:t>Interest income – debt investments – payment-in-kind (“PIK”)</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896,600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857,257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1,683,522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1,565,608</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374" w:type="dxa"/>
            <w:tcBorders/>
            <w:shd w:fill="CCEEFF" w:val="clear"/>
            <w:vAlign w:val="center"/>
          </w:tcPr>
          <w:p>
            <w:pPr>
              <w:pStyle w:val="TableContents"/>
              <w:bidi w:val="0"/>
              <w:spacing w:before="0" w:after="283"/>
              <w:jc w:val="left"/>
              <w:rPr/>
            </w:pPr>
            <w:r>
              <w:rPr/>
              <w:t>Income from securitization vehicles and investments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3,508,746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3,855,072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6,732,944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7,811,125</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374"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460,958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581,659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1,073,766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1,251,901</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374" w:type="dxa"/>
            <w:tcBorders/>
            <w:shd w:fill="CCEEFF" w:val="clear"/>
            <w:vAlign w:val="center"/>
          </w:tcPr>
          <w:p>
            <w:pPr>
              <w:pStyle w:val="TableContents"/>
              <w:bidi w:val="0"/>
              <w:spacing w:before="0" w:after="283"/>
              <w:jc w:val="left"/>
              <w:rPr/>
            </w:pPr>
            <w:r>
              <w:rPr/>
              <w:t>Total investment income from non-affiliated/non-control investments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pPr>
            <w:r>
              <w:rPr/>
              <w:t>9,402,093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pPr>
            <w:r>
              <w:rPr/>
              <w:t>9,522,181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18,344,771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19,683,231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374" w:type="dxa"/>
            <w:tcBorders/>
            <w:shd w:fill="FFFFFF" w:val="clear"/>
            <w:vAlign w:val="center"/>
          </w:tcPr>
          <w:p>
            <w:pPr>
              <w:pStyle w:val="TableContents"/>
              <w:bidi w:val="0"/>
              <w:spacing w:before="0" w:after="283"/>
              <w:jc w:val="left"/>
              <w:rPr/>
            </w:pPr>
            <w:r>
              <w:rPr/>
              <w:t>Total investment income</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9,402,093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9,522,181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18,344,771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19,683,231</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374" w:type="dxa"/>
            <w:tcBorders/>
            <w:shd w:fill="CCEEFF" w:val="clear"/>
            <w:vAlign w:val="center"/>
          </w:tcPr>
          <w:p>
            <w:pPr>
              <w:pStyle w:val="TableContents"/>
              <w:bidi w:val="0"/>
              <w:spacing w:before="0" w:after="283"/>
              <w:jc w:val="left"/>
              <w:rPr>
                <w:b/>
              </w:rPr>
            </w:pPr>
            <w:r>
              <w:rPr>
                <w:b/>
              </w:rPr>
              <w:t>EXPENSES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374"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2,793,880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1,929,045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5,585,135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3,888,332</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374" w:type="dxa"/>
            <w:tcBorders/>
            <w:shd w:fill="CCEEFF" w:val="clear"/>
            <w:vAlign w:val="center"/>
          </w:tcPr>
          <w:p>
            <w:pPr>
              <w:pStyle w:val="TableContents"/>
              <w:bidi w:val="0"/>
              <w:spacing w:before="0" w:after="283"/>
              <w:jc w:val="left"/>
              <w:rPr/>
            </w:pPr>
            <w:r>
              <w:rPr/>
              <w:t>Base Fee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961,643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1,036,312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1,952,274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2,095,097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374"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441,487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444,251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788,114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767,703</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374" w:type="dxa"/>
            <w:tcBorders/>
            <w:shd w:fill="CCEEFF" w:val="clear"/>
            <w:vAlign w:val="center"/>
          </w:tcPr>
          <w:p>
            <w:pPr>
              <w:pStyle w:val="TableContents"/>
              <w:bidi w:val="0"/>
              <w:spacing w:before="0" w:after="283"/>
              <w:jc w:val="left"/>
              <w:rPr/>
            </w:pPr>
            <w:r>
              <w:rPr/>
              <w:t>Compensation expense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232,163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228,296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479,093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467,873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374"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358,743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360,127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671,409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715,386</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374" w:type="dxa"/>
            <w:tcBorders/>
            <w:shd w:fill="CCEEFF" w:val="clear"/>
            <w:vAlign w:val="center"/>
          </w:tcPr>
          <w:p>
            <w:pPr>
              <w:pStyle w:val="TableContents"/>
              <w:bidi w:val="0"/>
              <w:spacing w:before="0" w:after="283"/>
              <w:jc w:val="left"/>
              <w:rPr/>
            </w:pPr>
            <w:r>
              <w:rPr/>
              <w:t>Excise tax</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pPr>
            <w:r>
              <w:rPr/>
              <w:t>(523,888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pPr>
            <w:r>
              <w:rPr/>
              <w:t>24,585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(419,110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145,401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374" w:type="dxa"/>
            <w:tcBorders/>
            <w:shd w:fill="FFFFFF" w:val="clear"/>
            <w:vAlign w:val="center"/>
          </w:tcPr>
          <w:p>
            <w:pPr>
              <w:pStyle w:val="TableContents"/>
              <w:bidi w:val="0"/>
              <w:spacing w:before="0" w:after="283"/>
              <w:jc w:val="left"/>
              <w:rPr/>
            </w:pPr>
            <w:r>
              <w:rPr/>
              <w:t>Total expenses before incentive fees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4,264,028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4,022,616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9,056,915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8,079,792</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374" w:type="dxa"/>
            <w:tcBorders/>
            <w:shd w:fill="CCEEFF" w:val="clear"/>
            <w:vAlign w:val="center"/>
          </w:tcPr>
          <w:p>
            <w:pPr>
              <w:pStyle w:val="TableContents"/>
              <w:bidi w:val="0"/>
              <w:spacing w:before="0" w:after="283"/>
              <w:jc w:val="left"/>
              <w:rPr/>
            </w:pPr>
            <w:r>
              <w:rPr/>
              <w:t>Net Investment Income Incentive Fees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374" w:type="dxa"/>
            <w:tcBorders/>
            <w:shd w:fill="FFFFFF" w:val="clear"/>
            <w:vAlign w:val="center"/>
          </w:tcPr>
          <w:p>
            <w:pPr>
              <w:pStyle w:val="TableContents"/>
              <w:bidi w:val="0"/>
              <w:spacing w:before="0" w:after="283"/>
              <w:jc w:val="left"/>
              <w:rPr/>
            </w:pPr>
            <w:r>
              <w:rPr/>
              <w:t>Total incentive fees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374"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pPr>
            <w:r>
              <w:rPr/>
              <w:t>4,264,028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pPr>
            <w:r>
              <w:rPr/>
              <w:t>4,022,616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9,056,915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8,079,792</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374"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5,138,065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5,499,565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9,287,856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11,603,439</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374" w:type="dxa"/>
            <w:tcBorders/>
            <w:shd w:fill="CCEEFF" w:val="clear"/>
            <w:vAlign w:val="center"/>
          </w:tcPr>
          <w:p>
            <w:pPr>
              <w:pStyle w:val="TableContents"/>
              <w:bidi w:val="0"/>
              <w:spacing w:before="0" w:after="283"/>
              <w:jc w:val="left"/>
              <w:rPr>
                <w:b/>
              </w:rPr>
            </w:pPr>
            <w:r>
              <w:rPr>
                <w:b/>
              </w:rPr>
              <w:t>NET CHANGE IN UNREALIZED APPRECIATION/(DEPRECIATION) AND NET REALIZED LOSSES ON INVESTMENT TRANSACTIONS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374" w:type="dxa"/>
            <w:tcBorders/>
            <w:shd w:fill="FFFFFF" w:val="clear"/>
            <w:vAlign w:val="center"/>
          </w:tcPr>
          <w:p>
            <w:pPr>
              <w:pStyle w:val="TableContents"/>
              <w:bidi w:val="0"/>
              <w:spacing w:before="0" w:after="283"/>
              <w:jc w:val="left"/>
              <w:rPr/>
            </w:pPr>
            <w:r>
              <w:rPr/>
              <w:t>Net change in unrealized appreciation/(depreciation) on investments: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374" w:type="dxa"/>
            <w:tcBorders/>
            <w:shd w:fill="CCEEFF" w:val="clear"/>
            <w:vAlign w:val="center"/>
          </w:tcPr>
          <w:p>
            <w:pPr>
              <w:pStyle w:val="TableContents"/>
              <w:bidi w:val="0"/>
              <w:spacing w:before="0" w:after="283"/>
              <w:jc w:val="left"/>
              <w:rPr/>
            </w:pPr>
            <w:r>
              <w:rPr/>
              <w:t>Non-Affiliate/non-control investments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pPr>
            <w:r>
              <w:rPr/>
              <w:t>4,071,759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pPr>
            <w:r>
              <w:rPr/>
              <w:t>1,253,135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5,135,612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(813,761</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4374" w:type="dxa"/>
            <w:tcBorders/>
            <w:shd w:fill="FFFFFF" w:val="clear"/>
            <w:vAlign w:val="center"/>
          </w:tcPr>
          <w:p>
            <w:pPr>
              <w:pStyle w:val="TableContents"/>
              <w:bidi w:val="0"/>
              <w:spacing w:before="0" w:after="283"/>
              <w:jc w:val="left"/>
              <w:rPr/>
            </w:pPr>
            <w:r>
              <w:rPr/>
              <w:t>Total net change in unrealized appreciation/(depreciation) on investments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4,071,759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1,253,135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5,135,612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(813,761</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4374" w:type="dxa"/>
            <w:tcBorders/>
            <w:shd w:fill="CCEEFF" w:val="clear"/>
            <w:vAlign w:val="center"/>
          </w:tcPr>
          <w:p>
            <w:pPr>
              <w:pStyle w:val="TableContents"/>
              <w:bidi w:val="0"/>
              <w:spacing w:before="0" w:after="283"/>
              <w:jc w:val="left"/>
              <w:rPr/>
            </w:pPr>
            <w:r>
              <w:rPr/>
              <w:t>Net realized losses: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374" w:type="dxa"/>
            <w:tcBorders/>
            <w:shd w:fill="FFFFFF" w:val="clear"/>
            <w:vAlign w:val="center"/>
          </w:tcPr>
          <w:p>
            <w:pPr>
              <w:pStyle w:val="TableContents"/>
              <w:bidi w:val="0"/>
              <w:spacing w:before="0" w:after="283"/>
              <w:jc w:val="left"/>
              <w:rPr/>
            </w:pPr>
            <w:r>
              <w:rPr/>
              <w:t>Non-affiliated/non-control investments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(5,216,274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(2,321,562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(35,954,739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(14,480,057</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4374" w:type="dxa"/>
            <w:tcBorders/>
            <w:shd w:fill="CCEEFF" w:val="clear"/>
            <w:vAlign w:val="center"/>
          </w:tcPr>
          <w:p>
            <w:pPr>
              <w:pStyle w:val="TableContents"/>
              <w:bidi w:val="0"/>
              <w:spacing w:before="0" w:after="283"/>
              <w:jc w:val="left"/>
              <w:rPr/>
            </w:pPr>
            <w:r>
              <w:rPr/>
              <w:t>Extinguishment of debt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pPr>
            <w:r>
              <w:rPr/>
              <w:t>(45,781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(45,781</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4374" w:type="dxa"/>
            <w:tcBorders/>
            <w:shd w:fill="FFFFFF" w:val="clear"/>
            <w:vAlign w:val="center"/>
          </w:tcPr>
          <w:p>
            <w:pPr>
              <w:pStyle w:val="TableContents"/>
              <w:bidi w:val="0"/>
              <w:spacing w:before="0" w:after="283"/>
              <w:jc w:val="left"/>
              <w:rPr/>
            </w:pPr>
            <w:r>
              <w:rPr/>
              <w:t>Total net realized losses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(5,216,274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(2,367,343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(35,954,739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(14,525,838</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4374" w:type="dxa"/>
            <w:tcBorders/>
            <w:shd w:fill="CCEEFF" w:val="clear"/>
            <w:vAlign w:val="center"/>
          </w:tcPr>
          <w:p>
            <w:pPr>
              <w:pStyle w:val="TableContents"/>
              <w:bidi w:val="0"/>
              <w:spacing w:before="0" w:after="283"/>
              <w:jc w:val="left"/>
              <w:rPr/>
            </w:pPr>
            <w:r>
              <w:rPr/>
              <w:t>Net change in unrealized and realized losses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pPr>
            <w:r>
              <w:rPr/>
              <w:t>(1,144,515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pPr>
            <w:r>
              <w:rPr/>
              <w:t>(1,114,208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(30,819,127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(15,339,599</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4374" w:type="dxa"/>
            <w:tcBorders/>
            <w:shd w:fill="FFFFFF" w:val="clear"/>
            <w:vAlign w:val="center"/>
          </w:tcPr>
          <w:p>
            <w:pPr>
              <w:pStyle w:val="TableContents"/>
              <w:bidi w:val="0"/>
              <w:spacing w:before="0" w:after="283"/>
              <w:jc w:val="left"/>
              <w:rPr/>
            </w:pPr>
            <w:r>
              <w:rPr/>
              <w:t>Net increase/(decrease) in net assets resulting from operations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jc w:val="right"/>
              <w:rPr/>
            </w:pPr>
            <w:r>
              <w:rPr/>
              <w:t>3,993,550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jc w:val="right"/>
              <w:rPr/>
            </w:pPr>
            <w:r>
              <w:rPr/>
              <w:t>4,385,357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pPr>
            <w:r>
              <w:rPr/>
              <w:t>(21,531,271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pPr>
            <w:r>
              <w:rPr/>
              <w:t>(3,736,160</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4374" w:type="dxa"/>
            <w:tcBorders/>
            <w:shd w:fill="CCEEFF" w:val="clear"/>
            <w:vAlign w:val="center"/>
          </w:tcPr>
          <w:p>
            <w:pPr>
              <w:pStyle w:val="TableContents"/>
              <w:bidi w:val="0"/>
              <w:spacing w:before="0" w:after="283"/>
              <w:jc w:val="left"/>
              <w:rPr/>
            </w:pPr>
            <w:r>
              <w:rPr/>
              <w:t>Net increase in net assets resulting from net investment income per common share (Basic and Diluted):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5"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5" w:type="dxa"/>
            <w:tcBorders/>
            <w:shd w:fill="CCEEFF" w:val="clear"/>
            <w:vAlign w:val="center"/>
          </w:tcPr>
          <w:p>
            <w:pPr>
              <w:pStyle w:val="TableContents"/>
              <w:bidi w:val="0"/>
              <w:spacing w:before="0" w:after="283"/>
              <w:jc w:val="right"/>
              <w:rPr/>
            </w:pPr>
            <w:r>
              <w:rPr/>
              <w:t>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0.16</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374" w:type="dxa"/>
            <w:tcBorders/>
            <w:shd w:fill="FFFFFF" w:val="clear"/>
            <w:vAlign w:val="center"/>
          </w:tcPr>
          <w:p>
            <w:pPr>
              <w:pStyle w:val="TableContents"/>
              <w:bidi w:val="0"/>
              <w:spacing w:before="0" w:after="283"/>
              <w:jc w:val="left"/>
              <w:rPr/>
            </w:pPr>
            <w:r>
              <w:rPr/>
              <w:t>Net increase/(decrease) in net assets resulting from operations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135"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135" w:type="dxa"/>
            <w:tcBorders/>
            <w:shd w:fill="FFFFFF" w:val="cle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90" w:type="dxa"/>
            <w:tcBorders/>
            <w:shd w:fill="FFFFFF" w:val="clear"/>
            <w:vAlign w:val="center"/>
          </w:tcPr>
          <w:p>
            <w:pPr>
              <w:pStyle w:val="TableContents"/>
              <w:bidi w:val="0"/>
              <w:spacing w:before="0" w:after="283"/>
              <w:jc w:val="right"/>
              <w:rPr/>
            </w:pPr>
            <w:r>
              <w:rPr/>
              <w:t>(0.23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90" w:type="dxa"/>
            <w:tcBorders/>
            <w:shd w:fill="FFFFFF" w:val="clear"/>
            <w:vAlign w:val="center"/>
          </w:tcPr>
          <w:p>
            <w:pPr>
              <w:pStyle w:val="TableContents"/>
              <w:bidi w:val="0"/>
              <w:spacing w:before="0" w:after="283"/>
              <w:jc w:val="right"/>
              <w:rPr/>
            </w:pPr>
            <w:r>
              <w:rPr/>
              <w:t>(0.05</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4374" w:type="dxa"/>
            <w:tcBorders/>
            <w:shd w:fill="CCEEFF" w:val="clear"/>
            <w:vAlign w:val="center"/>
          </w:tcPr>
          <w:p>
            <w:pPr>
              <w:pStyle w:val="TableContents"/>
              <w:bidi w:val="0"/>
              <w:spacing w:before="0" w:after="283"/>
              <w:jc w:val="left"/>
              <w:rPr/>
            </w:pPr>
            <w:r>
              <w:rPr/>
              <w:t>Weighted average shares of common stock outstanding (Basic and Diluted):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99,273,482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73,243,091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93,806,171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71,622,922</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374" w:type="dxa"/>
            <w:tcBorders/>
            <w:shd w:fill="FFFFFF" w:val="clear"/>
            <w:vAlign w:val="center"/>
          </w:tcPr>
          <w:p>
            <w:pPr>
              <w:pStyle w:val="TableContents"/>
              <w:bidi w:val="0"/>
              <w:spacing w:before="0" w:after="283"/>
              <w:jc w:val="left"/>
              <w:rPr/>
            </w:pPr>
            <w:r>
              <w:rPr/>
              <w:t>Distributions per share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135" w:type="dxa"/>
            <w:tcBorders/>
            <w:shd w:fill="FFFFFF" w:val="clear"/>
            <w:vAlign w:val="center"/>
          </w:tcPr>
          <w:p>
            <w:pPr>
              <w:pStyle w:val="TableContents"/>
              <w:bidi w:val="0"/>
              <w:spacing w:before="0" w:after="283"/>
              <w:jc w:val="right"/>
              <w:rPr/>
            </w:pPr>
            <w:r>
              <w:rPr/>
              <w:t>0.105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135" w:type="dxa"/>
            <w:tcBorders/>
            <w:shd w:fill="FFFFFF" w:val="clear"/>
            <w:vAlign w:val="center"/>
          </w:tcPr>
          <w:p>
            <w:pPr>
              <w:pStyle w:val="TableContents"/>
              <w:bidi w:val="0"/>
              <w:spacing w:before="0" w:after="283"/>
              <w:jc w:val="right"/>
              <w:rPr/>
            </w:pPr>
            <w:r>
              <w:rPr/>
              <w:t>0.105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90" w:type="dxa"/>
            <w:tcBorders/>
            <w:shd w:fill="FFFFFF" w:val="clear"/>
            <w:vAlign w:val="center"/>
          </w:tcPr>
          <w:p>
            <w:pPr>
              <w:pStyle w:val="TableContents"/>
              <w:bidi w:val="0"/>
              <w:spacing w:before="0" w:after="283"/>
              <w:jc w:val="right"/>
              <w:rPr/>
            </w:pPr>
            <w:r>
              <w:rPr/>
              <w:t>0.210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90" w:type="dxa"/>
            <w:tcBorders/>
            <w:shd w:fill="FFFFFF" w:val="clear"/>
            <w:vAlign w:val="center"/>
          </w:tcPr>
          <w:p>
            <w:pPr>
              <w:pStyle w:val="TableContents"/>
              <w:bidi w:val="0"/>
              <w:spacing w:before="0" w:after="283"/>
              <w:jc w:val="right"/>
              <w:rPr/>
            </w:pPr>
            <w:r>
              <w:rPr/>
              <w:t>0.210</w:t>
            </w:r>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7833" w:type="dxa"/>
        <w:jc w:val="left"/>
        <w:tblInd w:w="0" w:type="dxa"/>
        <w:tblLayout w:type="fixed"/>
        <w:tblCellMar>
          <w:top w:w="0" w:type="dxa"/>
          <w:left w:w="0" w:type="dxa"/>
          <w:bottom w:w="0" w:type="dxa"/>
          <w:right w:w="0" w:type="dxa"/>
        </w:tblCellMar>
      </w:tblPr>
      <w:tblGrid>
        <w:gridCol w:w="38"/>
        <w:gridCol w:w="29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(1)</w:t>
            </w:r>
          </w:p>
        </w:tc>
        <w:tc>
          <w:tcPr>
            <w:tcW w:w="7505" w:type="dxa"/>
            <w:tcBorders/>
            <w:vAlign w:val="center"/>
          </w:tcPr>
          <w:p>
            <w:pPr>
              <w:pStyle w:val="TableContents"/>
              <w:bidi w:val="0"/>
              <w:spacing w:before="0" w:after="283"/>
              <w:jc w:val="both"/>
              <w:rPr/>
            </w:pPr>
            <w:r>
              <w:rPr/>
              <w:t>Change in prior period was made to conform to the current period presentation.</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highlights for the three and six months ended June 30, 2026 and 2025, respectively,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5"/>
        <w:gridCol w:w="60"/>
        <w:gridCol w:w="144"/>
        <w:gridCol w:w="1263"/>
        <w:gridCol w:w="246"/>
        <w:gridCol w:w="60"/>
        <w:gridCol w:w="151"/>
        <w:gridCol w:w="1188"/>
        <w:gridCol w:w="246"/>
        <w:gridCol w:w="60"/>
        <w:gridCol w:w="140"/>
        <w:gridCol w:w="1220"/>
        <w:gridCol w:w="246"/>
        <w:gridCol w:w="60"/>
        <w:gridCol w:w="140"/>
        <w:gridCol w:w="1100"/>
        <w:gridCol w:w="266"/>
      </w:tblGrid>
      <w:tr>
        <w:trPr/>
        <w:tc>
          <w:tcPr>
            <w:tcW w:w="3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June 30,</w:t>
              <w:br/>
              <w:t>2026</w:t>
            </w:r>
          </w:p>
        </w:tc>
        <w:tc>
          <w:tcPr>
            <w:tcW w:w="2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June 30,</w:t>
              <w:br/>
              <w:t>2025</w:t>
            </w:r>
          </w:p>
        </w:tc>
        <w:tc>
          <w:tcPr>
            <w:tcW w:w="2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w:t>
              <w:br/>
              <w:t>Ended</w:t>
              <w:br/>
              <w:t>June 30,</w:t>
              <w:br/>
              <w:t>2026</w:t>
            </w:r>
          </w:p>
        </w:tc>
        <w:tc>
          <w:tcPr>
            <w:tcW w:w="2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w:t>
              <w:br/>
              <w:t xml:space="preserve">Ended </w:t>
              <w:br/>
              <w:t>June 30,</w:t>
              <w:br/>
              <w:t>2025</w:t>
            </w:r>
          </w:p>
        </w:tc>
        <w:tc>
          <w:tcPr>
            <w:tcW w:w="266" w:type="dxa"/>
            <w:tcBorders/>
            <w:vAlign w:val="center"/>
          </w:tcPr>
          <w:p>
            <w:pPr>
              <w:pStyle w:val="TableContents"/>
              <w:bidi w:val="0"/>
              <w:spacing w:before="0" w:after="283"/>
              <w:jc w:val="left"/>
              <w:rPr/>
            </w:pPr>
            <w:r>
              <w:rPr/>
              <w:t> </w:t>
            </w:r>
          </w:p>
        </w:tc>
      </w:tr>
      <w:tr>
        <w:trPr/>
        <w:tc>
          <w:tcPr>
            <w:tcW w:w="3615" w:type="dxa"/>
            <w:tcBorders/>
            <w:vAlign w:val="center"/>
          </w:tcPr>
          <w:p>
            <w:pPr>
              <w:pStyle w:val="TableContents"/>
              <w:bidi w:val="0"/>
              <w:spacing w:before="0" w:after="283"/>
              <w:jc w:val="left"/>
              <w:rPr>
                <w:b/>
              </w:rPr>
            </w:pPr>
            <w:r>
              <w:rPr>
                <w:b/>
              </w:rPr>
              <w:t>Per Share Data</w:t>
            </w:r>
          </w:p>
        </w:tc>
        <w:tc>
          <w:tcPr>
            <w:tcW w:w="60" w:type="dxa"/>
            <w:tcBorders/>
            <w:vAlign w:val="center"/>
          </w:tcPr>
          <w:p>
            <w:pPr>
              <w:pStyle w:val="TableContents"/>
              <w:bidi w:val="0"/>
              <w:spacing w:before="0" w:after="283"/>
              <w:jc w:val="left"/>
              <w:rPr/>
            </w:pPr>
            <w:r>
              <w:rPr/>
              <w:t> </w:t>
            </w:r>
          </w:p>
        </w:tc>
        <w:tc>
          <w:tcPr>
            <w:tcW w:w="1407" w:type="dxa"/>
            <w:gridSpan w:val="2"/>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r>
      <w:tr>
        <w:trPr/>
        <w:tc>
          <w:tcPr>
            <w:tcW w:w="3615" w:type="dxa"/>
            <w:tcBorders/>
            <w:shd w:fill="CCEEFF" w:val="clear"/>
            <w:vAlign w:val="center"/>
          </w:tcPr>
          <w:p>
            <w:pPr>
              <w:pStyle w:val="TableContents"/>
              <w:bidi w:val="0"/>
              <w:spacing w:before="0" w:after="283"/>
              <w:jc w:val="left"/>
              <w:rPr/>
            </w:pPr>
            <w:r>
              <w:rPr/>
              <w:t>Net asset value at beginning of period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63" w:type="dxa"/>
            <w:tcBorders>
              <w:bottom w:val="single" w:sz="8" w:space="0" w:color="000000"/>
            </w:tcBorders>
            <w:shd w:fill="CCEEFF" w:val="clear"/>
            <w:tcMar>
              <w:bottom w:w="28" w:type="dxa"/>
            </w:tcMar>
            <w:vAlign w:val="center"/>
          </w:tcPr>
          <w:p>
            <w:pPr>
              <w:pStyle w:val="TableContents"/>
              <w:bidi w:val="0"/>
              <w:spacing w:before="0" w:after="283"/>
              <w:jc w:val="right"/>
              <w:rPr/>
            </w:pPr>
            <w:r>
              <w:rPr/>
              <w:t>1.32</w:t>
            </w:r>
          </w:p>
        </w:tc>
        <w:tc>
          <w:tcPr>
            <w:tcW w:w="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single" w:sz="8" w:space="0" w:color="000000"/>
            </w:tcBorders>
            <w:shd w:fill="CCEEFF" w:val="clear"/>
            <w:tcMar>
              <w:bottom w:w="28" w:type="dxa"/>
            </w:tcMar>
            <w:vAlign w:val="center"/>
          </w:tcPr>
          <w:p>
            <w:pPr>
              <w:pStyle w:val="TableContents"/>
              <w:bidi w:val="0"/>
              <w:spacing w:before="0" w:after="283"/>
              <w:jc w:val="right"/>
              <w:rPr/>
            </w:pPr>
            <w:r>
              <w:rPr/>
              <w:t>2.09</w:t>
            </w:r>
          </w:p>
        </w:tc>
        <w:tc>
          <w:tcPr>
            <w:tcW w:w="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1.69</w:t>
            </w:r>
          </w:p>
        </w:tc>
        <w:tc>
          <w:tcPr>
            <w:tcW w:w="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2.30</w:t>
            </w:r>
          </w:p>
        </w:tc>
        <w:tc>
          <w:tcPr>
            <w:tcW w:w="266" w:type="dxa"/>
            <w:tcBorders/>
            <w:shd w:fill="CCEEFF" w:val="clear"/>
            <w:vAlign w:val="center"/>
          </w:tcPr>
          <w:p>
            <w:pPr>
              <w:pStyle w:val="TableContents"/>
              <w:bidi w:val="0"/>
              <w:spacing w:before="0" w:after="283"/>
              <w:jc w:val="left"/>
              <w:rPr/>
            </w:pPr>
            <w:r>
              <w:rPr/>
              <w:t> </w:t>
            </w:r>
          </w:p>
        </w:tc>
      </w:tr>
      <w:tr>
        <w:trPr/>
        <w:tc>
          <w:tcPr>
            <w:tcW w:w="3615" w:type="dxa"/>
            <w:tcBorders/>
            <w:shd w:fill="FFFFFF" w:val="clear"/>
            <w:vAlign w:val="center"/>
          </w:tcPr>
          <w:p>
            <w:pPr>
              <w:pStyle w:val="TableContents"/>
              <w:bidi w:val="0"/>
              <w:spacing w:before="0" w:after="283"/>
              <w:jc w:val="left"/>
              <w:rPr/>
            </w:pPr>
            <w:r>
              <w:rPr/>
              <w:t>Net investment income</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right"/>
              <w:rPr/>
            </w:pPr>
            <w:r>
              <w:rPr/>
              <w:t>0.05</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0.08</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0.10</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0.16</w:t>
            </w:r>
          </w:p>
        </w:tc>
        <w:tc>
          <w:tcPr>
            <w:tcW w:w="266" w:type="dxa"/>
            <w:tcBorders/>
            <w:shd w:fill="FFFFFF" w:val="clear"/>
            <w:vAlign w:val="center"/>
          </w:tcPr>
          <w:p>
            <w:pPr>
              <w:pStyle w:val="TableContents"/>
              <w:bidi w:val="0"/>
              <w:spacing w:before="0" w:after="283"/>
              <w:jc w:val="left"/>
              <w:rPr/>
            </w:pPr>
            <w:r>
              <w:rPr/>
              <w:t> </w:t>
            </w:r>
          </w:p>
        </w:tc>
      </w:tr>
      <w:tr>
        <w:trPr/>
        <w:tc>
          <w:tcPr>
            <w:tcW w:w="3615" w:type="dxa"/>
            <w:tcBorders/>
            <w:shd w:fill="CCEEFF" w:val="clear"/>
            <w:vAlign w:val="center"/>
          </w:tcPr>
          <w:p>
            <w:pPr>
              <w:pStyle w:val="TableContents"/>
              <w:bidi w:val="0"/>
              <w:spacing w:before="0" w:after="283"/>
              <w:jc w:val="left"/>
              <w:rPr/>
            </w:pPr>
            <w:r>
              <w:rPr/>
              <w:t>Net realized and unrealized (losses)/gains</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CCEEFF" w:val="clear"/>
            <w:tcMar>
              <w:bottom w:w="28" w:type="dxa"/>
            </w:tcMar>
            <w:vAlign w:val="center"/>
          </w:tcPr>
          <w:p>
            <w:pPr>
              <w:pStyle w:val="TableContents"/>
              <w:bidi w:val="0"/>
              <w:spacing w:before="0" w:after="283"/>
              <w:jc w:val="right"/>
              <w:rPr/>
            </w:pPr>
            <w:r>
              <w:rPr/>
              <w:t>(0.02</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(0.32</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(0.21</w:t>
            </w:r>
          </w:p>
        </w:tc>
        <w:tc>
          <w:tcPr>
            <w:tcW w:w="266" w:type="dxa"/>
            <w:tcBorders/>
            <w:shd w:fill="CCEEFF" w:val="clear"/>
            <w:vAlign w:val="center"/>
          </w:tcPr>
          <w:p>
            <w:pPr>
              <w:pStyle w:val="TableContents"/>
              <w:bidi w:val="0"/>
              <w:spacing w:before="0" w:after="283"/>
              <w:jc w:val="left"/>
              <w:rPr/>
            </w:pPr>
            <w:r>
              <w:rPr/>
              <w:t>)</w:t>
            </w:r>
          </w:p>
        </w:tc>
      </w:tr>
      <w:tr>
        <w:trPr/>
        <w:tc>
          <w:tcPr>
            <w:tcW w:w="3615" w:type="dxa"/>
            <w:tcBorders/>
            <w:shd w:fill="FFFFFF" w:val="clear"/>
            <w:vAlign w:val="center"/>
          </w:tcPr>
          <w:p>
            <w:pPr>
              <w:pStyle w:val="TableContents"/>
              <w:bidi w:val="0"/>
              <w:spacing w:before="0" w:after="283"/>
              <w:jc w:val="left"/>
              <w:rPr/>
            </w:pPr>
            <w:r>
              <w:rPr/>
              <w:t>Net (decrease)/increase in net asset value from operations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3" w:type="dxa"/>
            <w:tcBorders>
              <w:bottom w:val="single" w:sz="8" w:space="0" w:color="000000"/>
            </w:tcBorders>
            <w:shd w:fill="FFFFFF" w:val="clear"/>
            <w:tcMar>
              <w:bottom w:w="28" w:type="dxa"/>
            </w:tcMar>
            <w:vAlign w:val="center"/>
          </w:tcPr>
          <w:p>
            <w:pPr>
              <w:pStyle w:val="TableContents"/>
              <w:bidi w:val="0"/>
              <w:spacing w:before="0" w:after="283"/>
              <w:jc w:val="right"/>
              <w:rPr/>
            </w:pPr>
            <w:r>
              <w:rPr/>
              <w:t>0.05</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pPr>
            <w:r>
              <w:rPr/>
              <w:t>0.06</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(0.22</w:t>
            </w:r>
          </w:p>
        </w:tc>
        <w:tc>
          <w:tcPr>
            <w:tcW w:w="24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(0.05</w:t>
            </w:r>
          </w:p>
        </w:tc>
        <w:tc>
          <w:tcPr>
            <w:tcW w:w="266" w:type="dxa"/>
            <w:tcBorders/>
            <w:shd w:fill="FFFFFF" w:val="clear"/>
            <w:vAlign w:val="center"/>
          </w:tcPr>
          <w:p>
            <w:pPr>
              <w:pStyle w:val="TableContents"/>
              <w:bidi w:val="0"/>
              <w:spacing w:before="0" w:after="283"/>
              <w:jc w:val="left"/>
              <w:rPr/>
            </w:pPr>
            <w:r>
              <w:rPr/>
              <w:t>)</w:t>
            </w:r>
          </w:p>
        </w:tc>
      </w:tr>
      <w:tr>
        <w:trPr/>
        <w:tc>
          <w:tcPr>
            <w:tcW w:w="3615" w:type="dxa"/>
            <w:tcBorders/>
            <w:shd w:fill="CCEEFF" w:val="clear"/>
            <w:vAlign w:val="center"/>
          </w:tcPr>
          <w:p>
            <w:pPr>
              <w:pStyle w:val="TableContents"/>
              <w:bidi w:val="0"/>
              <w:spacing w:before="0" w:after="283"/>
              <w:jc w:val="left"/>
              <w:rPr/>
            </w:pPr>
            <w:r>
              <w:rPr/>
              <w:t>Distributions per share from net investment income</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(0.11</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(0.11</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(0.21</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(0.21</w:t>
            </w:r>
          </w:p>
        </w:tc>
        <w:tc>
          <w:tcPr>
            <w:tcW w:w="266" w:type="dxa"/>
            <w:tcBorders/>
            <w:shd w:fill="CCEEFF" w:val="clear"/>
            <w:vAlign w:val="center"/>
          </w:tcPr>
          <w:p>
            <w:pPr>
              <w:pStyle w:val="TableContents"/>
              <w:bidi w:val="0"/>
              <w:spacing w:before="0" w:after="283"/>
              <w:jc w:val="left"/>
              <w:rPr/>
            </w:pPr>
            <w:r>
              <w:rPr/>
              <w:t>)</w:t>
            </w:r>
          </w:p>
        </w:tc>
      </w:tr>
      <w:tr>
        <w:trPr/>
        <w:tc>
          <w:tcPr>
            <w:tcW w:w="3615" w:type="dxa"/>
            <w:tcBorders/>
            <w:shd w:fill="FFFFFF" w:val="clear"/>
            <w:vAlign w:val="center"/>
          </w:tcPr>
          <w:p>
            <w:pPr>
              <w:pStyle w:val="TableContents"/>
              <w:bidi w:val="0"/>
              <w:spacing w:before="0" w:after="283"/>
              <w:jc w:val="left"/>
              <w:rPr/>
            </w:pPr>
            <w:r>
              <w:rPr/>
              <w:t>Tax return of capital distributions</w:t>
            </w: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66" w:type="dxa"/>
            <w:tcBorders/>
            <w:shd w:fill="FFFFFF" w:val="clear"/>
            <w:vAlign w:val="center"/>
          </w:tcPr>
          <w:p>
            <w:pPr>
              <w:pStyle w:val="TableContents"/>
              <w:bidi w:val="0"/>
              <w:spacing w:before="0" w:after="283"/>
              <w:jc w:val="left"/>
              <w:rPr/>
            </w:pPr>
            <w:r>
              <w:rPr/>
              <w:t> </w:t>
            </w:r>
          </w:p>
        </w:tc>
      </w:tr>
      <w:tr>
        <w:trPr/>
        <w:tc>
          <w:tcPr>
            <w:tcW w:w="3615" w:type="dxa"/>
            <w:tcBorders/>
            <w:shd w:fill="CCEEFF" w:val="clear"/>
            <w:vAlign w:val="center"/>
          </w:tcPr>
          <w:p>
            <w:pPr>
              <w:pStyle w:val="TableContents"/>
              <w:bidi w:val="0"/>
              <w:spacing w:before="0" w:after="283"/>
              <w:jc w:val="left"/>
              <w:rPr/>
            </w:pPr>
            <w:r>
              <w:rPr/>
              <w:t>Total distributions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(0.11</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(0.11</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(0.21</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(0.21</w:t>
            </w:r>
          </w:p>
        </w:tc>
        <w:tc>
          <w:tcPr>
            <w:tcW w:w="266" w:type="dxa"/>
            <w:tcBorders/>
            <w:shd w:fill="CCEEFF" w:val="clear"/>
            <w:vAlign w:val="center"/>
          </w:tcPr>
          <w:p>
            <w:pPr>
              <w:pStyle w:val="TableContents"/>
              <w:bidi w:val="0"/>
              <w:spacing w:before="0" w:after="283"/>
              <w:jc w:val="left"/>
              <w:rPr/>
            </w:pPr>
            <w:r>
              <w:rPr/>
              <w:t>)</w:t>
            </w:r>
          </w:p>
        </w:tc>
      </w:tr>
      <w:tr>
        <w:trPr/>
        <w:tc>
          <w:tcPr>
            <w:tcW w:w="3615" w:type="dxa"/>
            <w:tcBorders/>
            <w:shd w:fill="FFFFFF" w:val="clear"/>
            <w:vAlign w:val="center"/>
          </w:tcPr>
          <w:p>
            <w:pPr>
              <w:pStyle w:val="TableContents"/>
              <w:bidi w:val="0"/>
              <w:spacing w:before="0" w:after="283"/>
              <w:jc w:val="left"/>
              <w:rPr/>
            </w:pPr>
            <w:r>
              <w:rPr/>
              <w:t>Effect of shares issued</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3" w:type="dxa"/>
            <w:tcBorders>
              <w:bottom w:val="single" w:sz="8" w:space="0" w:color="000000"/>
            </w:tcBorders>
            <w:shd w:fill="FFFFFF" w:val="clear"/>
            <w:tcMar>
              <w:bottom w:w="28" w:type="dxa"/>
            </w:tcMar>
            <w:vAlign w:val="center"/>
          </w:tcPr>
          <w:p>
            <w:pPr>
              <w:pStyle w:val="TableContents"/>
              <w:bidi w:val="0"/>
              <w:spacing w:before="0" w:after="283"/>
              <w:jc w:val="right"/>
              <w:rPr/>
            </w:pPr>
            <w:r>
              <w:rPr/>
              <w:t>0.03</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pPr>
            <w:r>
              <w:rPr/>
              <w:t>0.02</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0.03</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0.02</w:t>
            </w:r>
          </w:p>
        </w:tc>
        <w:tc>
          <w:tcPr>
            <w:tcW w:w="266" w:type="dxa"/>
            <w:tcBorders/>
            <w:shd w:fill="FFFFFF" w:val="clear"/>
            <w:vAlign w:val="center"/>
          </w:tcPr>
          <w:p>
            <w:pPr>
              <w:pStyle w:val="TableContents"/>
              <w:bidi w:val="0"/>
              <w:spacing w:before="0" w:after="283"/>
              <w:jc w:val="left"/>
              <w:rPr/>
            </w:pPr>
            <w:r>
              <w:rPr/>
              <w:t> </w:t>
            </w:r>
          </w:p>
        </w:tc>
      </w:tr>
      <w:tr>
        <w:trPr/>
        <w:tc>
          <w:tcPr>
            <w:tcW w:w="3615" w:type="dxa"/>
            <w:tcBorders/>
            <w:shd w:fill="CCEEFF" w:val="clear"/>
            <w:vAlign w:val="center"/>
          </w:tcPr>
          <w:p>
            <w:pPr>
              <w:pStyle w:val="TableContents"/>
              <w:bidi w:val="0"/>
              <w:spacing w:before="0" w:after="283"/>
              <w:jc w:val="left"/>
              <w:rPr/>
            </w:pPr>
            <w:r>
              <w:rPr/>
              <w:t>Net asset value at end of period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3" w:type="dxa"/>
            <w:tcBorders>
              <w:bottom w:val="double" w:sz="6" w:space="0" w:color="000000"/>
            </w:tcBorders>
            <w:shd w:fill="CCEEFF" w:val="clear"/>
            <w:tcMar>
              <w:bottom w:w="28" w:type="dxa"/>
            </w:tcMar>
            <w:vAlign w:val="center"/>
          </w:tcPr>
          <w:p>
            <w:pPr>
              <w:pStyle w:val="TableContents"/>
              <w:bidi w:val="0"/>
              <w:spacing w:before="0" w:after="283"/>
              <w:jc w:val="right"/>
              <w:rPr/>
            </w:pPr>
            <w:r>
              <w:rPr/>
              <w:t>1.29</w:t>
            </w:r>
          </w:p>
        </w:tc>
        <w:tc>
          <w:tcPr>
            <w:tcW w:w="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6" w:space="0" w:color="000000"/>
            </w:tcBorders>
            <w:shd w:fill="CCEEFF" w:val="clear"/>
            <w:tcMar>
              <w:bottom w:w="28" w:type="dxa"/>
            </w:tcMar>
            <w:vAlign w:val="center"/>
          </w:tcPr>
          <w:p>
            <w:pPr>
              <w:pStyle w:val="TableContents"/>
              <w:bidi w:val="0"/>
              <w:spacing w:before="0" w:after="283"/>
              <w:jc w:val="right"/>
              <w:rPr/>
            </w:pPr>
            <w:r>
              <w:rPr/>
              <w:t>2.06</w:t>
            </w:r>
          </w:p>
        </w:tc>
        <w:tc>
          <w:tcPr>
            <w:tcW w:w="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1.29</w:t>
            </w:r>
          </w:p>
        </w:tc>
        <w:tc>
          <w:tcPr>
            <w:tcW w:w="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2.06</w:t>
            </w:r>
          </w:p>
        </w:tc>
        <w:tc>
          <w:tcPr>
            <w:tcW w:w="266" w:type="dxa"/>
            <w:tcBorders/>
            <w:shd w:fill="CCEEFF" w:val="clear"/>
            <w:vAlign w:val="center"/>
          </w:tcPr>
          <w:p>
            <w:pPr>
              <w:pStyle w:val="TableContents"/>
              <w:bidi w:val="0"/>
              <w:spacing w:before="0" w:after="283"/>
              <w:jc w:val="left"/>
              <w:rPr/>
            </w:pPr>
            <w:r>
              <w:rPr/>
              <w:t> </w:t>
            </w:r>
          </w:p>
        </w:tc>
      </w:tr>
      <w:tr>
        <w:trPr/>
        <w:tc>
          <w:tcPr>
            <w:tcW w:w="3615" w:type="dxa"/>
            <w:tcBorders/>
            <w:shd w:fill="FFFFFF" w:val="clear"/>
            <w:vAlign w:val="center"/>
          </w:tcPr>
          <w:p>
            <w:pPr>
              <w:pStyle w:val="TableContents"/>
              <w:bidi w:val="0"/>
              <w:spacing w:before="0" w:after="283"/>
              <w:jc w:val="left"/>
              <w:rPr/>
            </w:pPr>
            <w:r>
              <w:rPr/>
              <w:t>Per share market value at beginning of period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263" w:type="dxa"/>
            <w:tcBorders/>
            <w:shd w:fill="FFFFFF" w:val="clear"/>
            <w:vAlign w:val="center"/>
          </w:tcPr>
          <w:p>
            <w:pPr>
              <w:pStyle w:val="TableContents"/>
              <w:bidi w:val="0"/>
              <w:spacing w:before="0" w:after="283"/>
              <w:jc w:val="right"/>
              <w:rPr/>
            </w:pPr>
            <w:r>
              <w:rPr/>
              <w:t>1.77</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188" w:type="dxa"/>
            <w:tcBorders/>
            <w:shd w:fill="FFFFFF" w:val="clear"/>
            <w:vAlign w:val="center"/>
          </w:tcPr>
          <w:p>
            <w:pPr>
              <w:pStyle w:val="TableContents"/>
              <w:bidi w:val="0"/>
              <w:spacing w:before="0" w:after="283"/>
              <w:jc w:val="right"/>
              <w:rPr/>
            </w:pPr>
            <w:r>
              <w:rPr/>
              <w:t>2.61</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1.76</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2.44</w:t>
            </w:r>
          </w:p>
        </w:tc>
        <w:tc>
          <w:tcPr>
            <w:tcW w:w="266" w:type="dxa"/>
            <w:tcBorders/>
            <w:shd w:fill="FFFFFF" w:val="clear"/>
            <w:vAlign w:val="center"/>
          </w:tcPr>
          <w:p>
            <w:pPr>
              <w:pStyle w:val="TableContents"/>
              <w:bidi w:val="0"/>
              <w:spacing w:before="0" w:after="283"/>
              <w:jc w:val="left"/>
              <w:rPr/>
            </w:pPr>
            <w:r>
              <w:rPr/>
              <w:t> </w:t>
            </w:r>
          </w:p>
        </w:tc>
      </w:tr>
      <w:tr>
        <w:trPr/>
        <w:tc>
          <w:tcPr>
            <w:tcW w:w="3615" w:type="dxa"/>
            <w:tcBorders/>
            <w:shd w:fill="CCEEFF" w:val="clear"/>
            <w:vAlign w:val="center"/>
          </w:tcPr>
          <w:p>
            <w:pPr>
              <w:pStyle w:val="TableContents"/>
              <w:bidi w:val="0"/>
              <w:spacing w:before="0" w:after="283"/>
              <w:jc w:val="left"/>
              <w:rPr/>
            </w:pPr>
            <w:r>
              <w:rPr/>
              <w:t>Per share market value at end of period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63" w:type="dxa"/>
            <w:tcBorders/>
            <w:shd w:fill="CCEEFF" w:val="clear"/>
            <w:vAlign w:val="center"/>
          </w:tcPr>
          <w:p>
            <w:pPr>
              <w:pStyle w:val="TableContents"/>
              <w:bidi w:val="0"/>
              <w:spacing w:before="0" w:after="283"/>
              <w:jc w:val="right"/>
              <w:rPr/>
            </w:pPr>
            <w:r>
              <w:rPr/>
              <w:t>1.32</w:t>
            </w:r>
          </w:p>
        </w:tc>
        <w:tc>
          <w:tcPr>
            <w:tcW w:w="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2.23</w:t>
            </w:r>
          </w:p>
        </w:tc>
        <w:tc>
          <w:tcPr>
            <w:tcW w:w="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1.32</w:t>
            </w:r>
          </w:p>
        </w:tc>
        <w:tc>
          <w:tcPr>
            <w:tcW w:w="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2.23</w:t>
            </w:r>
          </w:p>
        </w:tc>
        <w:tc>
          <w:tcPr>
            <w:tcW w:w="266" w:type="dxa"/>
            <w:tcBorders/>
            <w:shd w:fill="CCEEFF" w:val="clear"/>
            <w:vAlign w:val="center"/>
          </w:tcPr>
          <w:p>
            <w:pPr>
              <w:pStyle w:val="TableContents"/>
              <w:bidi w:val="0"/>
              <w:spacing w:before="0" w:after="283"/>
              <w:jc w:val="left"/>
              <w:rPr/>
            </w:pPr>
            <w:r>
              <w:rPr/>
              <w:t> </w:t>
            </w:r>
          </w:p>
        </w:tc>
      </w:tr>
      <w:tr>
        <w:trPr/>
        <w:tc>
          <w:tcPr>
            <w:tcW w:w="3615" w:type="dxa"/>
            <w:tcBorders/>
            <w:shd w:fill="FFFFFF" w:val="clear"/>
            <w:vAlign w:val="center"/>
          </w:tcPr>
          <w:p>
            <w:pPr>
              <w:pStyle w:val="TableContents"/>
              <w:bidi w:val="0"/>
              <w:spacing w:before="0" w:after="283"/>
              <w:jc w:val="left"/>
              <w:rPr/>
            </w:pPr>
            <w:r>
              <w:rPr/>
              <w:t>Total return based on Market Value</w:t>
            </w: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right"/>
              <w:rPr/>
            </w:pPr>
            <w:r>
              <w:rPr/>
              <w:t>(19.75</w:t>
            </w:r>
          </w:p>
        </w:tc>
        <w:tc>
          <w:tcPr>
            <w:tcW w:w="24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(10.49</w:t>
            </w:r>
          </w:p>
        </w:tc>
        <w:tc>
          <w:tcPr>
            <w:tcW w:w="24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(14.23</w:t>
            </w:r>
          </w:p>
        </w:tc>
        <w:tc>
          <w:tcPr>
            <w:tcW w:w="24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(0.30</w:t>
            </w:r>
          </w:p>
        </w:tc>
        <w:tc>
          <w:tcPr>
            <w:tcW w:w="266" w:type="dxa"/>
            <w:tcBorders/>
            <w:shd w:fill="FFFFFF" w:val="clear"/>
            <w:vAlign w:val="center"/>
          </w:tcPr>
          <w:p>
            <w:pPr>
              <w:pStyle w:val="TableContents"/>
              <w:bidi w:val="0"/>
              <w:spacing w:before="0" w:after="283"/>
              <w:jc w:val="left"/>
              <w:rPr/>
            </w:pPr>
            <w:r>
              <w:rPr/>
              <w:t>)%</w:t>
            </w:r>
          </w:p>
        </w:tc>
      </w:tr>
      <w:tr>
        <w:trPr/>
        <w:tc>
          <w:tcPr>
            <w:tcW w:w="3615" w:type="dxa"/>
            <w:tcBorders/>
            <w:shd w:fill="CCEEFF" w:val="clear"/>
            <w:vAlign w:val="center"/>
          </w:tcPr>
          <w:p>
            <w:pPr>
              <w:pStyle w:val="TableContents"/>
              <w:bidi w:val="0"/>
              <w:spacing w:before="0" w:after="283"/>
              <w:jc w:val="left"/>
              <w:rPr/>
            </w:pPr>
            <w:r>
              <w:rPr/>
              <w:t>Total return based on Net Asset Value</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5.68</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3.59</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(11.24</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w:t>
            </w:r>
          </w:p>
        </w:tc>
        <w:tc>
          <w:tcPr>
            <w:tcW w:w="266" w:type="dxa"/>
            <w:tcBorders/>
            <w:shd w:fill="CCEEFF" w:val="clear"/>
            <w:vAlign w:val="center"/>
          </w:tcPr>
          <w:p>
            <w:pPr>
              <w:pStyle w:val="TableContents"/>
              <w:bidi w:val="0"/>
              <w:spacing w:before="0" w:after="283"/>
              <w:jc w:val="left"/>
              <w:rPr/>
            </w:pPr>
            <w:r>
              <w:rPr/>
              <w:t>)%</w:t>
            </w:r>
          </w:p>
        </w:tc>
      </w:tr>
      <w:tr>
        <w:trPr/>
        <w:tc>
          <w:tcPr>
            <w:tcW w:w="3615" w:type="dxa"/>
            <w:tcBorders/>
            <w:shd w:fill="FFFFFF" w:val="clear"/>
            <w:vAlign w:val="center"/>
          </w:tcPr>
          <w:p>
            <w:pPr>
              <w:pStyle w:val="TableContents"/>
              <w:bidi w:val="0"/>
              <w:spacing w:before="0" w:after="283"/>
              <w:jc w:val="left"/>
              <w:rPr/>
            </w:pPr>
            <w:r>
              <w:rPr/>
              <w:t>Shares outstanding at end of period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right"/>
              <w:rPr/>
            </w:pPr>
            <w:r>
              <w:rPr/>
              <w:t>105,058,242</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76,236,738</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105,058,242</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76,236,738</w:t>
            </w:r>
          </w:p>
        </w:tc>
        <w:tc>
          <w:tcPr>
            <w:tcW w:w="266" w:type="dxa"/>
            <w:tcBorders/>
            <w:shd w:fill="FFFFFF" w:val="clear"/>
            <w:vAlign w:val="center"/>
          </w:tcPr>
          <w:p>
            <w:pPr>
              <w:pStyle w:val="TableContents"/>
              <w:bidi w:val="0"/>
              <w:spacing w:before="0" w:after="283"/>
              <w:jc w:val="left"/>
              <w:rPr/>
            </w:pPr>
            <w:r>
              <w:rPr/>
              <w:t> </w:t>
            </w:r>
          </w:p>
        </w:tc>
      </w:tr>
      <w:tr>
        <w:trPr/>
        <w:tc>
          <w:tcPr>
            <w:tcW w:w="36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66" w:type="dxa"/>
            <w:tcBorders/>
            <w:shd w:fill="CCEEFF" w:val="clear"/>
            <w:vAlign w:val="center"/>
          </w:tcPr>
          <w:p>
            <w:pPr>
              <w:pStyle w:val="TableContents"/>
              <w:bidi w:val="0"/>
              <w:spacing w:before="0" w:after="283"/>
              <w:jc w:val="left"/>
              <w:rPr/>
            </w:pPr>
            <w:r>
              <w:rPr/>
              <w:t> </w:t>
            </w:r>
          </w:p>
        </w:tc>
      </w:tr>
      <w:tr>
        <w:trPr/>
        <w:tc>
          <w:tcPr>
            <w:tcW w:w="3615" w:type="dxa"/>
            <w:tcBorders/>
            <w:shd w:fill="FFFFFF" w:val="clear"/>
            <w:vAlign w:val="center"/>
          </w:tcPr>
          <w:p>
            <w:pPr>
              <w:pStyle w:val="TableContents"/>
              <w:bidi w:val="0"/>
              <w:spacing w:before="0" w:after="283"/>
              <w:jc w:val="left"/>
              <w:rPr>
                <w:b/>
                <w:u w:val="single"/>
              </w:rPr>
            </w:pPr>
            <w:r>
              <w:rPr>
                <w:b/>
                <w:u w:val="single"/>
              </w:rPr>
              <w:t>Ratios/Supplemental Data</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r>
      <w:tr>
        <w:trPr/>
        <w:tc>
          <w:tcPr>
            <w:tcW w:w="3615" w:type="dxa"/>
            <w:tcBorders/>
            <w:shd w:fill="CCEEFF" w:val="clear"/>
            <w:vAlign w:val="center"/>
          </w:tcPr>
          <w:p>
            <w:pPr>
              <w:pStyle w:val="TableContents"/>
              <w:bidi w:val="0"/>
              <w:spacing w:before="0" w:after="283"/>
              <w:jc w:val="left"/>
              <w:rPr/>
            </w:pPr>
            <w:r>
              <w:rPr/>
              <w:t>Net assets at end of period (000’s)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63" w:type="dxa"/>
            <w:tcBorders/>
            <w:shd w:fill="CCEEFF" w:val="clear"/>
            <w:vAlign w:val="center"/>
          </w:tcPr>
          <w:p>
            <w:pPr>
              <w:pStyle w:val="TableContents"/>
              <w:bidi w:val="0"/>
              <w:spacing w:before="0" w:after="283"/>
              <w:jc w:val="right"/>
              <w:rPr/>
            </w:pPr>
            <w:r>
              <w:rPr/>
              <w:t>135,028</w:t>
            </w:r>
          </w:p>
        </w:tc>
        <w:tc>
          <w:tcPr>
            <w:tcW w:w="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157,423</w:t>
            </w:r>
          </w:p>
        </w:tc>
        <w:tc>
          <w:tcPr>
            <w:tcW w:w="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135,028</w:t>
            </w:r>
          </w:p>
        </w:tc>
        <w:tc>
          <w:tcPr>
            <w:tcW w:w="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157,423</w:t>
            </w:r>
          </w:p>
        </w:tc>
        <w:tc>
          <w:tcPr>
            <w:tcW w:w="266" w:type="dxa"/>
            <w:tcBorders/>
            <w:shd w:fill="CCEEFF" w:val="clear"/>
            <w:vAlign w:val="center"/>
          </w:tcPr>
          <w:p>
            <w:pPr>
              <w:pStyle w:val="TableContents"/>
              <w:bidi w:val="0"/>
              <w:spacing w:before="0" w:after="283"/>
              <w:jc w:val="left"/>
              <w:rPr/>
            </w:pPr>
            <w:r>
              <w:rPr/>
              <w:t> </w:t>
            </w:r>
          </w:p>
        </w:tc>
      </w:tr>
      <w:tr>
        <w:trPr/>
        <w:tc>
          <w:tcPr>
            <w:tcW w:w="3615" w:type="dxa"/>
            <w:tcBorders/>
            <w:shd w:fill="FFFFFF" w:val="clear"/>
            <w:vAlign w:val="center"/>
          </w:tcPr>
          <w:p>
            <w:pPr>
              <w:pStyle w:val="TableContents"/>
              <w:bidi w:val="0"/>
              <w:spacing w:before="0" w:after="283"/>
              <w:jc w:val="left"/>
              <w:rPr/>
            </w:pPr>
            <w:r>
              <w:rPr/>
              <w:t>Average net assets (000’s)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263" w:type="dxa"/>
            <w:tcBorders/>
            <w:shd w:fill="FFFFFF" w:val="clear"/>
            <w:vAlign w:val="center"/>
          </w:tcPr>
          <w:p>
            <w:pPr>
              <w:pStyle w:val="TableContents"/>
              <w:bidi w:val="0"/>
              <w:spacing w:before="0" w:after="283"/>
              <w:jc w:val="right"/>
              <w:rPr/>
            </w:pPr>
            <w:r>
              <w:rPr/>
              <w:t>129,465</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188" w:type="dxa"/>
            <w:tcBorders/>
            <w:shd w:fill="FFFFFF" w:val="clear"/>
            <w:vAlign w:val="center"/>
          </w:tcPr>
          <w:p>
            <w:pPr>
              <w:pStyle w:val="TableContents"/>
              <w:bidi w:val="0"/>
              <w:spacing w:before="0" w:after="283"/>
              <w:jc w:val="right"/>
              <w:rPr/>
            </w:pPr>
            <w:r>
              <w:rPr/>
              <w:t>152,126</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130,642</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152,806</w:t>
            </w:r>
          </w:p>
        </w:tc>
        <w:tc>
          <w:tcPr>
            <w:tcW w:w="266" w:type="dxa"/>
            <w:tcBorders/>
            <w:shd w:fill="FFFFFF" w:val="clear"/>
            <w:vAlign w:val="center"/>
          </w:tcPr>
          <w:p>
            <w:pPr>
              <w:pStyle w:val="TableContents"/>
              <w:bidi w:val="0"/>
              <w:spacing w:before="0" w:after="283"/>
              <w:jc w:val="left"/>
              <w:rPr/>
            </w:pPr>
            <w:r>
              <w:rPr/>
              <w:t> </w:t>
            </w:r>
          </w:p>
        </w:tc>
      </w:tr>
      <w:tr>
        <w:trPr/>
        <w:tc>
          <w:tcPr>
            <w:tcW w:w="3615" w:type="dxa"/>
            <w:tcBorders/>
            <w:shd w:fill="CCEEFF" w:val="clear"/>
            <w:vAlign w:val="center"/>
          </w:tcPr>
          <w:p>
            <w:pPr>
              <w:pStyle w:val="TableContents"/>
              <w:bidi w:val="0"/>
              <w:spacing w:before="0" w:after="283"/>
              <w:jc w:val="left"/>
              <w:rPr/>
            </w:pPr>
            <w:r>
              <w:rPr/>
              <w:t>Ratio of expenses to average net assets</w:t>
            </w:r>
            <w:r>
              <w:rPr>
                <w:position w:val="8"/>
                <w:sz w:val="19"/>
              </w:rPr>
              <w:t>(6)</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14.39</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10.78</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14.19</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10.62</w:t>
            </w:r>
          </w:p>
        </w:tc>
        <w:tc>
          <w:tcPr>
            <w:tcW w:w="266" w:type="dxa"/>
            <w:tcBorders/>
            <w:shd w:fill="CCEEFF" w:val="clear"/>
            <w:vAlign w:val="center"/>
          </w:tcPr>
          <w:p>
            <w:pPr>
              <w:pStyle w:val="TableContents"/>
              <w:bidi w:val="0"/>
              <w:spacing w:before="0" w:after="283"/>
              <w:jc w:val="left"/>
              <w:rPr/>
            </w:pPr>
            <w:r>
              <w:rPr/>
              <w:t>%</w:t>
            </w:r>
          </w:p>
        </w:tc>
      </w:tr>
      <w:tr>
        <w:trPr/>
        <w:tc>
          <w:tcPr>
            <w:tcW w:w="3615" w:type="dxa"/>
            <w:tcBorders/>
            <w:shd w:fill="FFFFFF" w:val="clear"/>
            <w:vAlign w:val="center"/>
          </w:tcPr>
          <w:p>
            <w:pPr>
              <w:pStyle w:val="TableContents"/>
              <w:bidi w:val="0"/>
              <w:spacing w:before="0" w:after="283"/>
              <w:jc w:val="left"/>
              <w:rPr/>
            </w:pPr>
            <w:r>
              <w:rPr/>
              <w:t>Ratio of expenses, excluding interest expense, to average net assets</w:t>
            </w:r>
            <w:r>
              <w:rPr>
                <w:position w:val="8"/>
                <w:sz w:val="19"/>
              </w:rPr>
              <w:t>(6)</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right"/>
              <w:rPr/>
            </w:pPr>
            <w:r>
              <w:rPr/>
              <w:t>5.76</w:t>
            </w:r>
          </w:p>
        </w:tc>
        <w:tc>
          <w:tcPr>
            <w:tcW w:w="24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5.70</w:t>
            </w:r>
          </w:p>
        </w:tc>
        <w:tc>
          <w:tcPr>
            <w:tcW w:w="24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5.64</w:t>
            </w:r>
          </w:p>
        </w:tc>
        <w:tc>
          <w:tcPr>
            <w:tcW w:w="24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5.53</w:t>
            </w:r>
          </w:p>
        </w:tc>
        <w:tc>
          <w:tcPr>
            <w:tcW w:w="266" w:type="dxa"/>
            <w:tcBorders/>
            <w:shd w:fill="FFFFFF" w:val="clear"/>
            <w:vAlign w:val="center"/>
          </w:tcPr>
          <w:p>
            <w:pPr>
              <w:pStyle w:val="TableContents"/>
              <w:bidi w:val="0"/>
              <w:spacing w:before="0" w:after="283"/>
              <w:jc w:val="left"/>
              <w:rPr/>
            </w:pPr>
            <w:r>
              <w:rPr/>
              <w:t>%</w:t>
            </w:r>
          </w:p>
        </w:tc>
      </w:tr>
      <w:tr>
        <w:trPr/>
        <w:tc>
          <w:tcPr>
            <w:tcW w:w="3615" w:type="dxa"/>
            <w:tcBorders/>
            <w:shd w:fill="CCEEFF" w:val="clear"/>
            <w:vAlign w:val="center"/>
          </w:tcPr>
          <w:p>
            <w:pPr>
              <w:pStyle w:val="TableContents"/>
              <w:bidi w:val="0"/>
              <w:spacing w:before="0" w:after="283"/>
              <w:jc w:val="left"/>
              <w:rPr/>
            </w:pPr>
            <w:r>
              <w:rPr/>
              <w:t>Ratio of net investment income to average net assets</w:t>
            </w:r>
            <w:r>
              <w:rPr>
                <w:position w:val="8"/>
                <w:sz w:val="19"/>
              </w:rPr>
              <w:t>(6)</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14.66</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14.26</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13.90</w:t>
            </w:r>
          </w:p>
        </w:tc>
        <w:tc>
          <w:tcPr>
            <w:tcW w:w="24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15.15</w:t>
            </w:r>
          </w:p>
        </w:tc>
        <w:tc>
          <w:tcPr>
            <w:tcW w:w="266" w:type="dxa"/>
            <w:tcBorders/>
            <w:shd w:fill="CCEEFF" w:val="clear"/>
            <w:vAlign w:val="center"/>
          </w:tcPr>
          <w:p>
            <w:pPr>
              <w:pStyle w:val="TableContents"/>
              <w:bidi w:val="0"/>
              <w:spacing w:before="0" w:after="283"/>
              <w:jc w:val="left"/>
              <w:rPr/>
            </w:pPr>
            <w:r>
              <w:rPr/>
              <w:t>%</w:t>
            </w:r>
          </w:p>
        </w:tc>
      </w:tr>
      <w:tr>
        <w:trPr/>
        <w:tc>
          <w:tcPr>
            <w:tcW w:w="3615" w:type="dxa"/>
            <w:tcBorders/>
            <w:shd w:fill="FFFFFF" w:val="clear"/>
            <w:vAlign w:val="center"/>
          </w:tcPr>
          <w:p>
            <w:pPr>
              <w:pStyle w:val="TableContents"/>
              <w:bidi w:val="0"/>
              <w:spacing w:before="0" w:after="283"/>
              <w:jc w:val="left"/>
              <w:rPr/>
            </w:pPr>
            <w:r>
              <w:rPr/>
              <w:t>Portfolio turnover rate</w:t>
            </w:r>
            <w:r>
              <w:rPr>
                <w:position w:val="8"/>
                <w:sz w:val="19"/>
              </w:rPr>
              <w:t>(7)</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right"/>
              <w:rPr/>
            </w:pPr>
            <w:r>
              <w:rPr/>
              <w:t>0.19</w:t>
            </w:r>
          </w:p>
        </w:tc>
        <w:tc>
          <w:tcPr>
            <w:tcW w:w="24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24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0.35</w:t>
            </w:r>
          </w:p>
        </w:tc>
        <w:tc>
          <w:tcPr>
            <w:tcW w:w="24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6.40</w:t>
            </w:r>
          </w:p>
        </w:tc>
        <w:tc>
          <w:tcPr>
            <w:tcW w:w="266"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(1)</w:t>
            </w:r>
          </w:p>
        </w:tc>
        <w:tc>
          <w:tcPr>
            <w:tcW w:w="9881" w:type="dxa"/>
            <w:tcBorders/>
            <w:vAlign w:val="center"/>
          </w:tcPr>
          <w:p>
            <w:pPr>
              <w:pStyle w:val="TableContents"/>
              <w:bidi w:val="0"/>
              <w:spacing w:before="0" w:after="283"/>
              <w:jc w:val="both"/>
              <w:rPr/>
            </w:pPr>
            <w:r>
              <w:rPr/>
              <w:t>Represents per share net investment income for the period, based upon weighted average shares outstanding.</w:t>
            </w:r>
          </w:p>
        </w:tc>
      </w:tr>
    </w:tbl>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(2)</w:t>
            </w:r>
          </w:p>
        </w:tc>
        <w:tc>
          <w:tcPr>
            <w:tcW w:w="9888" w:type="dxa"/>
            <w:tcBorders/>
            <w:vAlign w:val="center"/>
          </w:tcPr>
          <w:p>
            <w:pPr>
              <w:pStyle w:val="TableContents"/>
              <w:bidi w:val="0"/>
              <w:spacing w:before="0" w:after="283"/>
              <w:jc w:val="left"/>
              <w:rPr/>
            </w:pPr>
            <w:r>
              <w:rPr/>
              <w:t>Net realized and unrealized gains/(losses) include rounding adjustments to reconcile change in net asset value per share.</w:t>
            </w:r>
          </w:p>
        </w:tc>
      </w:tr>
    </w:tbl>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283"/>
              <w:jc w:val="left"/>
              <w:rPr/>
            </w:pPr>
            <w:r>
              <w:rPr/>
              <w:t>Management monitors available taxable earnings, including net investment income and realized capital gains, to determine if a tax return of capital may occur for the year. To the extent the Company’s taxable earnings fall below the total amount of the Company’s distributions for that fiscal year, a portion of those distributions may be deemed a tax return of capital to the Company’s stockholders. The ultimate tax character of the Company’s earnings cannot be determined until tax returns are prepared after the end of the fiscal year. The amounts and sources of distributions reported are only estimates (based on an average of the reported tax character historically) and are not being provided for U.S. tax reporting purposes. For each of the three-month periods ended June 30, 2026 and 2025, distributions were $0.105 per share and are presented as $0.11 per share due to rounding.</w:t>
            </w:r>
          </w:p>
        </w:tc>
      </w:tr>
    </w:tbl>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(4)</w:t>
            </w:r>
          </w:p>
        </w:tc>
        <w:tc>
          <w:tcPr>
            <w:tcW w:w="9929" w:type="dxa"/>
            <w:tcBorders/>
            <w:vAlign w:val="center"/>
          </w:tcPr>
          <w:p>
            <w:pPr>
              <w:pStyle w:val="TableContents"/>
              <w:bidi w:val="0"/>
              <w:spacing w:before="0" w:after="283"/>
              <w:jc w:val="left"/>
              <w:rPr/>
            </w:pPr>
            <w:r>
              <w:rPr/>
              <w:t>Total return based on market value equals the increase or decrease of ending market value over beginning market value, plus distributions, divided by the beginning market value, assuming distribution reinvestment prices obtained under the Company’s distribution reinvestment plan. Total return is not annualized.</w:t>
            </w:r>
          </w:p>
        </w:tc>
      </w:tr>
    </w:tbl>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(5)</w:t>
            </w:r>
          </w:p>
        </w:tc>
        <w:tc>
          <w:tcPr>
            <w:tcW w:w="9918" w:type="dxa"/>
            <w:tcBorders/>
            <w:vAlign w:val="center"/>
          </w:tcPr>
          <w:p>
            <w:pPr>
              <w:pStyle w:val="TableContents"/>
              <w:bidi w:val="0"/>
              <w:spacing w:before="0" w:after="283"/>
              <w:jc w:val="left"/>
              <w:rPr/>
            </w:pPr>
            <w:r>
              <w:rPr/>
              <w:t>Total return based on net asset value equals the increase or decrease of ending net asset value over beginning net asset value, plus distributions, divided by the beginning net asset value. Total return is not annualized.</w:t>
            </w:r>
          </w:p>
        </w:tc>
      </w:tr>
    </w:tbl>
    <w:tbl>
      <w:tblPr>
        <w:tblW w:w="7878" w:type="dxa"/>
        <w:jc w:val="left"/>
        <w:tblInd w:w="0" w:type="dxa"/>
        <w:tblLayout w:type="fixed"/>
        <w:tblCellMar>
          <w:top w:w="0" w:type="dxa"/>
          <w:left w:w="0" w:type="dxa"/>
          <w:bottom w:w="0" w:type="dxa"/>
          <w:right w:w="0" w:type="dxa"/>
        </w:tblCellMar>
      </w:tblPr>
      <w:tblGrid>
        <w:gridCol w:w="38"/>
        <w:gridCol w:w="29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(6)</w:t>
            </w:r>
          </w:p>
        </w:tc>
        <w:tc>
          <w:tcPr>
            <w:tcW w:w="7550" w:type="dxa"/>
            <w:tcBorders/>
            <w:vAlign w:val="center"/>
          </w:tcPr>
          <w:p>
            <w:pPr>
              <w:pStyle w:val="TableContents"/>
              <w:bidi w:val="0"/>
              <w:spacing w:before="0" w:after="283"/>
              <w:jc w:val="left"/>
              <w:rPr/>
            </w:pPr>
            <w:r>
              <w:rPr/>
              <w:t>Annualized and adjusted for one-time excise tax reversals in the current quarter.</w:t>
            </w:r>
          </w:p>
        </w:tc>
      </w:tr>
    </w:tbl>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(7)</w:t>
            </w:r>
          </w:p>
        </w:tc>
        <w:tc>
          <w:tcPr>
            <w:tcW w:w="9915" w:type="dxa"/>
            <w:tcBorders/>
            <w:vAlign w:val="center"/>
          </w:tcPr>
          <w:p>
            <w:pPr>
              <w:pStyle w:val="TableContents"/>
              <w:bidi w:val="0"/>
              <w:spacing w:before="0" w:after="283"/>
              <w:jc w:val="left"/>
              <w:rPr/>
            </w:pPr>
            <w:r>
              <w:rPr/>
              <w:t>Portfolio turnover rate is calculated using the lesser of the year-to-date investment sales and debt repayments or year-to-date investment purchases over the average of the total investments at fair value.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Oxford Square Capital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Square Capital Corp. is a publicly-traded business development company principally investing in syndicated bank loans and, to a lesser extent, debt and equity tranches of collateralized loan obligation (“CLO”) vehicles. CLO investments may also include warehouse facilities, which are financing structures intended to aggregate loans that may be used to form the basis of a CLO vehicle.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subject to the inherent uncertainties in predicting future results and conditions. Any statements that are not statements of historical fact (including statements containing the words “believes,” “plans,” “anticipates,” “expects,” “estimates” and similar expressions) should also be considered to be forward-looking statements. These statements are not guarantees of future performance, conditions or results and involve a number of risks and uncertainties. Certain factors could cause actual results and conditions to differ materially from those projected in these forward-looking statements. These factors are identified from time to time in our filings with the Securities and Exchange Commission. We undertake no obligation to update such statements to reflect subsequent events,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Rubin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203-983-5280</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2504</Words>
  <Characters>13938</Characters>
  <CharactersWithSpaces>16764</CharactersWithSpaces>
  <Paragraphs>1481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