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938-01_8k.htm"/>
      <w:bookmarkStart w:id="1" w:name="ksea029993801_8k"/>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3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rFonts w:ascii="Times New Roman;Times;Serif" w:hAnsi="Times New Roman;Times;Serif"/>
          <w:b w:val="false"/>
          <w:i w:val="false"/>
          <w:caps w:val="false"/>
          <w:smallCaps w:val="false"/>
          <w:sz w:val="20"/>
        </w:rPr>
      </w:pPr>
      <w:bookmarkStart w:id="3" w:name="xdx_903_edei--DocumentPeriodEndDate_c202"/>
      <w:bookmarkEnd w:id="3"/>
      <w:r>
        <w:rPr>
          <w:rFonts w:ascii="Times New Roman;Times;Serif" w:hAnsi="Times New Roman;Times;Serif"/>
          <w:b w:val="false"/>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OXFORD SQUARE CAPITAL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8" w:space="0" w:color="000000"/>
            </w:tcBorders>
            <w:vAlign w:val="center"/>
          </w:tcPr>
          <w:p>
            <w:pPr>
              <w:pStyle w:val="TableContents"/>
              <w:bidi w:val="0"/>
              <w:spacing w:before="0" w:after="283"/>
              <w:jc w:val="center"/>
              <w:rPr>
                <w:b/>
              </w:rPr>
            </w:pPr>
            <w:bookmarkStart w:id="5" w:name="xdx_90D_edei--EntityIncorporationStateCo"/>
            <w:bookmarkEnd w:id="5"/>
            <w:r>
              <w:rPr>
                <w:b/>
              </w:rPr>
              <w:t>Maryland</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9_edei--EntityFileNumber_c20260731"/>
            <w:bookmarkEnd w:id="6"/>
            <w:r>
              <w:rPr>
                <w:b/>
              </w:rPr>
              <w:t>814-00638</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1_edei--EntityTaxIdentificationNum"/>
            <w:bookmarkEnd w:id="7"/>
            <w:r>
              <w:rPr>
                <w:b/>
              </w:rPr>
              <w:t>20-0188736</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8 Sound Shore Drive, </w:t>
      </w:r>
      <w:bookmarkStart w:id="9" w:name="xdx_90A_edei--EntityAddressAddressLine2_"/>
      <w:bookmarkEnd w:id="9"/>
      <w:r>
        <w:rPr>
          <w:rFonts w:ascii="Times New Roman;Times;Serif" w:hAnsi="Times New Roman;Times;Serif"/>
          <w:b/>
          <w:i w:val="false"/>
          <w:caps w:val="false"/>
          <w:smallCaps w:val="false"/>
          <w:sz w:val="20"/>
        </w:rPr>
        <w:t>Suite 255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Greenwich, </w:t>
      </w:r>
      <w:bookmarkStart w:id="11" w:name="xdx_908_edei--EntityAddressStateOrProvin"/>
      <w:bookmarkEnd w:id="11"/>
      <w:r>
        <w:rPr>
          <w:rFonts w:ascii="Times New Roman;Times;Serif" w:hAnsi="Times New Roman;Times;Serif"/>
          <w:b/>
          <w:i w:val="false"/>
          <w:caps w:val="false"/>
          <w:smallCaps w:val="false"/>
          <w:sz w:val="20"/>
        </w:rPr>
        <w:t xml:space="preserve">CT </w:t>
      </w:r>
      <w:bookmarkStart w:id="12" w:name="xdx_907_edei--EntityAddressPostalZipCode"/>
      <w:bookmarkEnd w:id="12"/>
      <w:r>
        <w:rPr>
          <w:rFonts w:ascii="Times New Roman;Times;Serif" w:hAnsi="Times New Roman;Times;Serif"/>
          <w:b/>
          <w:i w:val="false"/>
          <w:caps w:val="false"/>
          <w:smallCaps w:val="false"/>
          <w:sz w:val="20"/>
        </w:rPr>
        <w:t>06830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731__20"/>
      <w:bookmarkEnd w:id="13"/>
      <w:r>
        <w:rPr>
          <w:rFonts w:ascii="Times New Roman;Times;Serif" w:hAnsi="Times New Roman;Times;Serif"/>
          <w:b/>
          <w:i w:val="false"/>
          <w:caps w:val="false"/>
          <w:smallCaps w:val="false"/>
          <w:sz w:val="20"/>
        </w:rPr>
        <w:t xml:space="preserve">203) </w:t>
      </w:r>
      <w:bookmarkStart w:id="14" w:name="xdx_903_edei--LocalPhoneNumber_c20260731"/>
      <w:bookmarkEnd w:id="14"/>
      <w:r>
        <w:rPr>
          <w:rFonts w:ascii="Times New Roman;Times;Serif" w:hAnsi="Times New Roman;Times;Serif"/>
          <w:b/>
          <w:i w:val="false"/>
          <w:caps w:val="false"/>
          <w:smallCaps w:val="false"/>
          <w:sz w:val="20"/>
        </w:rPr>
        <w:t>983-5275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C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59"/>
        <w:gridCol w:w="60"/>
        <w:gridCol w:w="1883"/>
        <w:gridCol w:w="60"/>
        <w:gridCol w:w="4343"/>
      </w:tblGrid>
      <w:tr>
        <w:trPr/>
        <w:tc>
          <w:tcPr>
            <w:tcW w:w="3859"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83"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343"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859" w:type="dxa"/>
            <w:tcBorders/>
            <w:shd w:fill="CCEEFF" w:val="clear"/>
            <w:tcMar>
              <w:bottom w:w="0" w:type="dxa"/>
            </w:tcMar>
            <w:vAlign w:val="center"/>
          </w:tcPr>
          <w:p>
            <w:pPr>
              <w:pStyle w:val="TableContents"/>
              <w:bidi w:val="0"/>
              <w:spacing w:before="0" w:after="283"/>
              <w:jc w:val="center"/>
              <w:rPr/>
            </w:pPr>
            <w:bookmarkStart w:id="19" w:name="xdx_90C_edei--Security12bTitle_c20260731"/>
            <w:bookmarkEnd w:id="19"/>
            <w:r>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83" w:type="dxa"/>
            <w:tcBorders/>
            <w:shd w:fill="CCEEFF" w:val="clear"/>
            <w:tcMar>
              <w:bottom w:w="0" w:type="dxa"/>
            </w:tcMar>
            <w:vAlign w:val="center"/>
          </w:tcPr>
          <w:p>
            <w:pPr>
              <w:pStyle w:val="TableContents"/>
              <w:bidi w:val="0"/>
              <w:spacing w:before="0" w:after="283"/>
              <w:jc w:val="center"/>
              <w:rPr/>
            </w:pPr>
            <w:bookmarkStart w:id="20" w:name="xdx_907_edei--TradingSymbol_c20260731__2"/>
            <w:bookmarkEnd w:id="20"/>
            <w:r>
              <w:rPr/>
              <w:t>OXSQ</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43" w:type="dxa"/>
            <w:tcBorders/>
            <w:shd w:fill="CCEEFF" w:val="clear"/>
            <w:tcMar>
              <w:bottom w:w="0" w:type="dxa"/>
            </w:tcMar>
            <w:vAlign w:val="center"/>
          </w:tcPr>
          <w:p>
            <w:pPr>
              <w:pStyle w:val="TableContents"/>
              <w:bidi w:val="0"/>
              <w:spacing w:before="0" w:after="283"/>
              <w:jc w:val="center"/>
              <w:rPr/>
            </w:pPr>
            <w:bookmarkStart w:id="21" w:name="xdx_900_edei--SecurityExchangeName_c2026"/>
            <w:bookmarkEnd w:id="21"/>
            <w:r>
              <w:rPr/>
              <w:t>NASDAQ Global Select Market LLC</w:t>
            </w:r>
          </w:p>
        </w:tc>
      </w:tr>
      <w:tr>
        <w:trPr/>
        <w:tc>
          <w:tcPr>
            <w:tcW w:w="3859" w:type="dxa"/>
            <w:tcBorders/>
            <w:shd w:fill="FFFFFF" w:val="clear"/>
            <w:tcMar>
              <w:bottom w:w="0" w:type="dxa"/>
            </w:tcMar>
            <w:vAlign w:val="center"/>
          </w:tcPr>
          <w:p>
            <w:pPr>
              <w:pStyle w:val="TableContents"/>
              <w:bidi w:val="0"/>
              <w:spacing w:before="0" w:after="283"/>
              <w:jc w:val="center"/>
              <w:rPr/>
            </w:pPr>
            <w:bookmarkStart w:id="22" w:name="xdx_905_edei--Security12bTitle_c20260731"/>
            <w:bookmarkEnd w:id="22"/>
            <w:r>
              <w:rPr/>
              <w:t>5.50% Notes due 2028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83" w:type="dxa"/>
            <w:tcBorders/>
            <w:shd w:fill="FFFFFF" w:val="clear"/>
            <w:tcMar>
              <w:bottom w:w="0" w:type="dxa"/>
            </w:tcMar>
            <w:vAlign w:val="center"/>
          </w:tcPr>
          <w:p>
            <w:pPr>
              <w:pStyle w:val="TableContents"/>
              <w:bidi w:val="0"/>
              <w:spacing w:before="0" w:after="283"/>
              <w:jc w:val="center"/>
              <w:rPr/>
            </w:pPr>
            <w:bookmarkStart w:id="23" w:name="xdx_90F_edei--TradingSymbol_c20260731__2"/>
            <w:bookmarkEnd w:id="23"/>
            <w:r>
              <w:rPr/>
              <w:t>OXSQG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43" w:type="dxa"/>
            <w:tcBorders/>
            <w:shd w:fill="FFFFFF" w:val="clear"/>
            <w:tcMar>
              <w:bottom w:w="0" w:type="dxa"/>
            </w:tcMar>
            <w:vAlign w:val="center"/>
          </w:tcPr>
          <w:p>
            <w:pPr>
              <w:pStyle w:val="TableContents"/>
              <w:bidi w:val="0"/>
              <w:spacing w:before="0" w:after="283"/>
              <w:jc w:val="center"/>
              <w:rPr/>
            </w:pPr>
            <w:bookmarkStart w:id="24" w:name="xdx_902_edei--SecurityExchangeName_c2026"/>
            <w:bookmarkEnd w:id="24"/>
            <w:r>
              <w:rPr/>
              <w:t>NASDAQ Global Select Market LLC</w:t>
            </w:r>
          </w:p>
        </w:tc>
      </w:tr>
      <w:tr>
        <w:trPr/>
        <w:tc>
          <w:tcPr>
            <w:tcW w:w="3859" w:type="dxa"/>
            <w:tcBorders/>
            <w:shd w:fill="CCEEFF" w:val="clear"/>
            <w:tcMar>
              <w:bottom w:w="0" w:type="dxa"/>
            </w:tcMar>
            <w:vAlign w:val="center"/>
          </w:tcPr>
          <w:p>
            <w:pPr>
              <w:pStyle w:val="TableContents"/>
              <w:bidi w:val="0"/>
              <w:spacing w:before="0" w:after="283"/>
              <w:jc w:val="center"/>
              <w:rPr/>
            </w:pPr>
            <w:bookmarkStart w:id="25" w:name="xdx_900_edei--Security12bTitle_c20260731"/>
            <w:bookmarkEnd w:id="25"/>
            <w:r>
              <w:rPr/>
              <w:t>7.75% Notes due 2030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83" w:type="dxa"/>
            <w:tcBorders/>
            <w:shd w:fill="CCEEFF" w:val="clear"/>
            <w:tcMar>
              <w:bottom w:w="0" w:type="dxa"/>
            </w:tcMar>
            <w:vAlign w:val="center"/>
          </w:tcPr>
          <w:p>
            <w:pPr>
              <w:pStyle w:val="TableContents"/>
              <w:bidi w:val="0"/>
              <w:spacing w:before="0" w:after="283"/>
              <w:jc w:val="center"/>
              <w:rPr/>
            </w:pPr>
            <w:bookmarkStart w:id="26" w:name="xdx_906_edei--TradingSymbol_c20260731__2"/>
            <w:bookmarkEnd w:id="26"/>
            <w:r>
              <w:rPr/>
              <w:t>OXSQH</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43" w:type="dxa"/>
            <w:tcBorders/>
            <w:shd w:fill="CCEEFF" w:val="clear"/>
            <w:tcMar>
              <w:bottom w:w="0" w:type="dxa"/>
            </w:tcMar>
            <w:vAlign w:val="center"/>
          </w:tcPr>
          <w:p>
            <w:pPr>
              <w:pStyle w:val="TableContents"/>
              <w:bidi w:val="0"/>
              <w:spacing w:before="0" w:after="283"/>
              <w:jc w:val="center"/>
              <w:rPr/>
            </w:pPr>
            <w:bookmarkStart w:id="27" w:name="xdx_900_edei--SecurityExchangeName_c2026"/>
            <w:bookmarkEnd w:id="27"/>
            <w:r>
              <w:rPr/>
              <w:t>NASDAQ Global Select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9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Oxford Square Capital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financial results for the second quarter ended June 30, 2026. The text of the press release is included as Exhibit 99.1 to this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2.02, including Exhibit 99.1, is being furnished and shall not be deemed “filed” for purposes of Section 18 of the Securities Exchange Act of 1934, as amended, or otherwise subject to the liabilities of that section. The information set forth under this Item 2.02, including Exhibit 99.1, shall not be incorporated by reference into any registration statement or other document pursuant to the Securities Act of 1933, as amended, unless it is specifically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31, 2026, the Company issued a press release, included herewith as Exhibit 99.1, announcing the declaration of distributions for the months ending October 31, 2026, November 30, 2026, and December 31, 2026. Additionally, on July 31, 2026, the Company made available on its website, </w:t>
      </w:r>
      <w:r>
        <w:rPr>
          <w:rFonts w:ascii="Times New Roman;Times;Serif" w:hAnsi="Times New Roman;Times;Serif"/>
          <w:b w:val="false"/>
          <w:i/>
          <w:caps w:val="false"/>
          <w:smallCaps w:val="false"/>
          <w:sz w:val="20"/>
        </w:rPr>
        <w:t>www.oxfordsquarecapital.com</w:t>
      </w:r>
      <w:r>
        <w:rPr>
          <w:rFonts w:ascii="Times New Roman;Times;Serif" w:hAnsi="Times New Roman;Times;Serif"/>
          <w:b w:val="false"/>
          <w:i w:val="false"/>
          <w:caps w:val="false"/>
          <w:smallCaps w:val="false"/>
          <w:sz w:val="20"/>
        </w:rPr>
        <w:t>, supplemental investor information with respect to the aforementioned earnings press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7.01, including Exhibit 99.1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72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28" w:type="dxa"/>
          <w:right w:w="0" w:type="dxa"/>
        </w:tblCellMar>
      </w:tblPr>
      <w:tblGrid>
        <w:gridCol w:w="1205"/>
        <w:gridCol w:w="60"/>
        <w:gridCol w:w="767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7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70" w:type="dxa"/>
            <w:tcBorders/>
            <w:shd w:fill="CCEEFF" w:val="clear"/>
            <w:tcMar>
              <w:bottom w:w="0" w:type="dxa"/>
            </w:tcMar>
            <w:vAlign w:val="center"/>
          </w:tcPr>
          <w:p>
            <w:pPr>
              <w:pStyle w:val="TableContents"/>
              <w:bidi w:val="0"/>
              <w:spacing w:before="0" w:after="283"/>
              <w:jc w:val="left"/>
              <w:rPr/>
            </w:pPr>
            <w:hyperlink w:anchor="ea0299938-01_ex991.htm">
              <w:r>
                <w:rPr>
                  <w:rStyle w:val="InternetLink"/>
                </w:rPr>
                <w:t>Press release dated July 31,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xml:space="preserve">104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70"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1895"/>
        <w:gridCol w:w="608"/>
        <w:gridCol w:w="3356"/>
      </w:tblGrid>
      <w:tr>
        <w:trPr/>
        <w:tc>
          <w:tcPr>
            <w:tcW w:w="1895" w:type="dxa"/>
            <w:tcBorders/>
            <w:vAlign w:val="center"/>
          </w:tcPr>
          <w:p>
            <w:pPr>
              <w:pStyle w:val="TableContents"/>
              <w:bidi w:val="0"/>
              <w:spacing w:before="0" w:after="283"/>
              <w:jc w:val="left"/>
              <w:rPr/>
            </w:pPr>
            <w:r>
              <w:rPr/>
              <w:t>Date: July 31, 2026</w:t>
            </w:r>
          </w:p>
        </w:tc>
        <w:tc>
          <w:tcPr>
            <w:tcW w:w="3964" w:type="dxa"/>
            <w:gridSpan w:val="2"/>
            <w:tcBorders/>
            <w:vAlign w:val="center"/>
          </w:tcPr>
          <w:p>
            <w:pPr>
              <w:pStyle w:val="TableContents"/>
              <w:bidi w:val="0"/>
              <w:spacing w:before="0" w:after="283"/>
              <w:jc w:val="left"/>
              <w:rPr/>
            </w:pPr>
            <w:r>
              <w:rPr/>
              <w:t>OXFORD SQUARE CAPITAL CORP.</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By:</w:t>
            </w:r>
          </w:p>
        </w:tc>
        <w:tc>
          <w:tcPr>
            <w:tcW w:w="3356" w:type="dxa"/>
            <w:tcBorders>
              <w:bottom w:val="single" w:sz="8" w:space="0" w:color="000000"/>
            </w:tcBorders>
            <w:tcMar>
              <w:bottom w:w="28" w:type="dxa"/>
            </w:tcMar>
            <w:vAlign w:val="center"/>
          </w:tcPr>
          <w:p>
            <w:pPr>
              <w:pStyle w:val="TableContents"/>
              <w:bidi w:val="0"/>
              <w:spacing w:before="0" w:after="283"/>
              <w:jc w:val="left"/>
              <w:rPr/>
            </w:pPr>
            <w:r>
              <w:rPr/>
              <w:t>/s/ Saul B. Rosenthal</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283"/>
              <w:jc w:val="left"/>
              <w:rPr/>
            </w:pPr>
            <w:r>
              <w:rPr/>
              <w:t>Saul B. Rosenthal</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283"/>
              <w:jc w:val="left"/>
              <w:rPr/>
            </w:pPr>
            <w:r>
              <w:rPr/>
              <w:t>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pPr>
      <w:r>
        <w:rPr/>
        <w:t> </w:t>
      </w:r>
    </w:p>
    <w:p>
      <w:pPr>
        <w:pStyle w:val="TextBody"/>
        <w:bidi w:val="0"/>
        <w:jc w:val="right"/>
        <w:rPr>
          <w:b/>
        </w:rPr>
      </w:pPr>
      <w:bookmarkStart w:id="29" w:name="ea0299938-01_ex991.htm"/>
      <w:bookmarkStart w:id="30" w:name="ksea029993801_ex991"/>
      <w:bookmarkEnd w:id="29"/>
      <w:bookmarkEnd w:id="30"/>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Square Capital Corp. Announces Net Asset Value and Selected Financial Results for the Quarter Ended June 30, 2026 and Declaration of Distributions on Common Stock for the Months Ending October 31, November 30, and December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 7/31/2026 – Oxford Square Capital Corp. (NasdaqGS: OXSQ) (NasdaqGS: OXSQG) (NasdaqGS: OXSQH) (the “Company,” “we,” “us” or “our”) announced today its financial results and related information for the quarter ended June 30, 2026.</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left"/>
              <w:rPr/>
            </w:pPr>
            <w:r>
              <w:rPr/>
              <w:t>On July 29, 2026, our Board of Directors declared the following distributions on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6485" w:type="dxa"/>
        <w:jc w:val="left"/>
        <w:tblInd w:w="-10" w:type="dxa"/>
        <w:tblLayout w:type="fixed"/>
        <w:tblCellMar>
          <w:top w:w="28" w:type="dxa"/>
          <w:left w:w="28" w:type="dxa"/>
          <w:bottom w:w="28" w:type="dxa"/>
          <w:right w:w="28" w:type="dxa"/>
        </w:tblCellMar>
      </w:tblPr>
      <w:tblGrid>
        <w:gridCol w:w="1640"/>
        <w:gridCol w:w="1625"/>
        <w:gridCol w:w="1625"/>
        <w:gridCol w:w="1595"/>
      </w:tblGrid>
      <w:tr>
        <w:trPr/>
        <w:tc>
          <w:tcPr>
            <w:tcW w:w="16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Month Ending</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Record Date</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Payment Date</w:t>
            </w:r>
          </w:p>
        </w:tc>
        <w:tc>
          <w:tcPr>
            <w:tcW w:w="15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Amount Per Share</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October 31,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October 16,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October 30, 2026</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$0.035</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November 30,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November 16,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November 30, 2026</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$0.035</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December 31,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December 17,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December 31, 2026</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$0.035</w:t>
            </w:r>
          </w:p>
        </w:tc>
      </w:tr>
    </w:tbl>
    <w:p>
      <w:pPr>
        <w:pStyle w:val="TextBody"/>
        <w:bidi w:val="0"/>
        <w:spacing w:before="0" w:after="0"/>
        <w:ind w:left="0" w:right="0" w:firstLine="1440"/>
        <w:jc w:val="left"/>
        <w:rPr/>
      </w:pPr>
      <w:r>
        <w:rPr/>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Net asset value (“NAV”) per share as of June 30, 2026 stood at $1.29, compared with a NAV per share on March 31, 2026 of $1.32.</w:t>
            </w:r>
          </w:p>
        </w:tc>
      </w:tr>
    </w:tbl>
    <w:p>
      <w:pPr>
        <w:pStyle w:val="TextBody"/>
        <w:bidi w:val="0"/>
        <w:spacing w:before="0" w:after="0"/>
        <w:ind w:left="765"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Net investment income (“NII”) was approximately $5.1 million, or $0.05 per share, for the quarter ended June 30, 2026, compared with approximately $4.1 million, or $0.05 per share, for the quarter ended March 31,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Total investment income for the quarter ended June 30, 2026 amounted to approximately $9.4 million, compared with approximately $8.9 million for the quarter ended March 31,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50"/>
        <w:gridCol w:w="10015"/>
      </w:tblGrid>
      <w:tr>
        <w:trPr/>
        <w:tc>
          <w:tcPr>
            <w:tcW w:w="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15" w:type="dxa"/>
            <w:tcBorders/>
            <w:vAlign w:val="center"/>
          </w:tcPr>
          <w:p>
            <w:pPr>
              <w:pStyle w:val="TableContents"/>
              <w:bidi w:val="0"/>
              <w:spacing w:before="0" w:after="283"/>
              <w:jc w:val="left"/>
              <w:rPr/>
            </w:pPr>
            <w:r>
              <w:rPr/>
              <w:t>For the quarter ended June 30, 2026 we recorded investment income from our portfolio as follows: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326"/>
        <w:gridCol w:w="9781"/>
      </w:tblGrid>
      <w:tr>
        <w:trPr/>
        <w:tc>
          <w:tcPr>
            <w:tcW w:w="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Wingdings" w:hAnsi="Wingdings"/>
              </w:rPr>
            </w:pPr>
            <w:r>
              <w:rPr>
                <w:rFonts w:ascii="Wingdings" w:hAnsi="Wingdings"/>
              </w:rPr>
              <w:t>§</w:t>
            </w:r>
          </w:p>
        </w:tc>
        <w:tc>
          <w:tcPr>
            <w:tcW w:w="9781" w:type="dxa"/>
            <w:tcBorders/>
            <w:vAlign w:val="center"/>
          </w:tcPr>
          <w:p>
            <w:pPr>
              <w:pStyle w:val="TableContents"/>
              <w:bidi w:val="0"/>
              <w:spacing w:before="0" w:after="283"/>
              <w:jc w:val="left"/>
              <w:rPr/>
            </w:pPr>
            <w:r>
              <w:rPr/>
              <w:t>$5.4 million from our debt investments;</w:t>
            </w:r>
          </w:p>
        </w:tc>
      </w:tr>
    </w:tbl>
    <w:p>
      <w:pPr>
        <w:pStyle w:val="TextBody"/>
        <w:bidi w:val="0"/>
        <w:spacing w:before="0" w:after="0"/>
        <w:ind w:left="21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52"/>
        <w:gridCol w:w="9877"/>
      </w:tblGrid>
      <w:tr>
        <w:trPr/>
        <w:tc>
          <w:tcPr>
            <w:tcW w:w="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Wingdings" w:hAnsi="Wingdings"/>
              </w:rPr>
            </w:pPr>
            <w:r>
              <w:rPr>
                <w:rFonts w:ascii="Wingdings" w:hAnsi="Wingdings"/>
              </w:rPr>
              <w:t>§</w:t>
            </w:r>
          </w:p>
        </w:tc>
        <w:tc>
          <w:tcPr>
            <w:tcW w:w="9877" w:type="dxa"/>
            <w:tcBorders/>
            <w:vAlign w:val="center"/>
          </w:tcPr>
          <w:p>
            <w:pPr>
              <w:pStyle w:val="TableContents"/>
              <w:bidi w:val="0"/>
              <w:spacing w:before="0" w:after="283"/>
              <w:jc w:val="left"/>
              <w:rPr/>
            </w:pPr>
            <w:r>
              <w:rPr/>
              <w:t>$3.5 million from our CLO equity investments; and</w:t>
            </w:r>
          </w:p>
        </w:tc>
      </w:tr>
    </w:tbl>
    <w:p>
      <w:pPr>
        <w:pStyle w:val="TextBody"/>
        <w:bidi w:val="0"/>
        <w:spacing w:before="0" w:after="0"/>
        <w:ind w:left="21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398"/>
        <w:gridCol w:w="9686"/>
      </w:tblGrid>
      <w:tr>
        <w:trPr/>
        <w:tc>
          <w:tcPr>
            <w:tcW w:w="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Wingdings" w:hAnsi="Wingdings"/>
              </w:rPr>
            </w:pPr>
            <w:r>
              <w:rPr>
                <w:rFonts w:ascii="Wingdings" w:hAnsi="Wingdings"/>
              </w:rPr>
              <w:t>§</w:t>
            </w:r>
          </w:p>
        </w:tc>
        <w:tc>
          <w:tcPr>
            <w:tcW w:w="9686" w:type="dxa"/>
            <w:tcBorders/>
            <w:vAlign w:val="center"/>
          </w:tcPr>
          <w:p>
            <w:pPr>
              <w:pStyle w:val="TableContents"/>
              <w:bidi w:val="0"/>
              <w:spacing w:before="0" w:after="283"/>
              <w:jc w:val="left"/>
              <w:rPr/>
            </w:pPr>
            <w:r>
              <w:rPr/>
              <w:t>$0.5 million from other income.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total expenses for the quarter ended June 30, 2026 were approximately $4.3 million, compared with total expenses of approximately $4.8 million for the quarter ended March 31,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As of June 30, 2026, the following metrics applied (note that none of these metrics represented a total return to shareholders):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weighted average yield of our debt investments was 14.9% at current cost, compared with 14.7% as of March 31, 2026;</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weighted average effective yield of our CLO equity investments at current cost was 8.1%, compared with 7.3% as of March 31, 2026;</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weighted average cash distribution yield of our cash income producing senior secured note investments at current cost was 8.0%, compared with 8.0% as of March 31, 2026; and</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weighted average cash distribution yield of our cash income producing CLO equity investments at current cost was 12.4%, compared with 13.6% as of March 31,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For the quarter ended June 30, 2026, we recorded a net increase in net assets resulting from operations of approximately $4.0 million, consisting of:</w:t>
            </w:r>
          </w:p>
        </w:tc>
      </w:tr>
    </w:tbl>
    <w:tbl>
      <w:tblPr>
        <w:tblW w:w="5000" w:type="pct"/>
        <w:jc w:val="left"/>
        <w:tblInd w:w="0" w:type="dxa"/>
        <w:tblLayout w:type="fixed"/>
        <w:tblCellMar>
          <w:top w:w="0" w:type="dxa"/>
          <w:left w:w="0" w:type="dxa"/>
          <w:bottom w:w="0" w:type="dxa"/>
          <w:right w:w="0" w:type="dxa"/>
        </w:tblCellMar>
      </w:tblPr>
      <w:tblGrid>
        <w:gridCol w:w="111"/>
        <w:gridCol w:w="412"/>
        <w:gridCol w:w="9682"/>
      </w:tblGrid>
      <w:tr>
        <w:trPr/>
        <w:tc>
          <w:tcPr>
            <w:tcW w:w="1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682" w:type="dxa"/>
            <w:tcBorders/>
            <w:vAlign w:val="center"/>
          </w:tcPr>
          <w:p>
            <w:pPr>
              <w:pStyle w:val="TableContents"/>
              <w:bidi w:val="0"/>
              <w:spacing w:before="0" w:after="283"/>
              <w:jc w:val="left"/>
              <w:rPr/>
            </w:pPr>
            <w:r>
              <w:rPr/>
              <w:t>NII of approximately $5.1 million;</w:t>
            </w:r>
          </w:p>
        </w:tc>
      </w:tr>
    </w:tbl>
    <w:tbl>
      <w:tblPr>
        <w:tblW w:w="5000" w:type="pct"/>
        <w:jc w:val="left"/>
        <w:tblInd w:w="0" w:type="dxa"/>
        <w:tblLayout w:type="fixed"/>
        <w:tblCellMar>
          <w:top w:w="0" w:type="dxa"/>
          <w:left w:w="0" w:type="dxa"/>
          <w:bottom w:w="0" w:type="dxa"/>
          <w:right w:w="0" w:type="dxa"/>
        </w:tblCellMar>
      </w:tblPr>
      <w:tblGrid>
        <w:gridCol w:w="73"/>
        <w:gridCol w:w="269"/>
        <w:gridCol w:w="9863"/>
      </w:tblGrid>
      <w:tr>
        <w:trPr/>
        <w:tc>
          <w:tcPr>
            <w:tcW w:w="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863" w:type="dxa"/>
            <w:tcBorders/>
            <w:vAlign w:val="center"/>
          </w:tcPr>
          <w:p>
            <w:pPr>
              <w:pStyle w:val="TableContents"/>
              <w:bidi w:val="0"/>
              <w:spacing w:before="0" w:after="283"/>
              <w:jc w:val="left"/>
              <w:rPr/>
            </w:pPr>
            <w:r>
              <w:rPr/>
              <w:t>Net realized losses of approximately $5.2 million; and</w:t>
            </w:r>
          </w:p>
        </w:tc>
      </w:tr>
    </w:tbl>
    <w:tbl>
      <w:tblPr>
        <w:tblW w:w="5000" w:type="pct"/>
        <w:jc w:val="left"/>
        <w:tblInd w:w="0" w:type="dxa"/>
        <w:tblLayout w:type="fixed"/>
        <w:tblCellMar>
          <w:top w:w="0" w:type="dxa"/>
          <w:left w:w="0" w:type="dxa"/>
          <w:bottom w:w="0" w:type="dxa"/>
          <w:right w:w="0" w:type="dxa"/>
        </w:tblCellMar>
      </w:tblPr>
      <w:tblGrid>
        <w:gridCol w:w="66"/>
        <w:gridCol w:w="247"/>
        <w:gridCol w:w="9892"/>
      </w:tblGrid>
      <w:tr>
        <w:trPr/>
        <w:tc>
          <w:tcPr>
            <w:tcW w:w="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892" w:type="dxa"/>
            <w:tcBorders/>
            <w:vAlign w:val="center"/>
          </w:tcPr>
          <w:p>
            <w:pPr>
              <w:pStyle w:val="TableContents"/>
              <w:bidi w:val="0"/>
              <w:spacing w:before="0" w:after="283"/>
              <w:jc w:val="left"/>
              <w:rPr/>
            </w:pPr>
            <w:r>
              <w:rPr/>
              <w:t>Net unrealized appreciation of approximately $4.1 million. </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During the second quarter of 2026, our investment activity consisted of purchases of approximately $19.9 million and repayments of approximately $0.5 million. No sales were made during the quarter.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weighted average credit rating was 2.1 based on total fair value and 2.2 based on total principal amount as of June 30, 2026, compared with a weighted average credit rating of 2.2 based on total fair value and 2.4 based on total principal amount as of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As of June 30, 2026, our preferred equity investments in one of our portfolio companies were on non-accrual status, which had an aggregate fair value of approximately $6.9 million.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For the quarter ended June 30, 2026, we issued a total of approximately 11.3 million shares of common stock pursuant to an “at-the-market” offering. After deducting the sales agent’s commissions and offering expenses, this resulted in net proceeds of approximately $17.8 million. As of June 30, 2026, we had approximately 105.1 million shares of common stock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 discuss second quarter results today, Friday, July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at 9:00 AM ET. The toll-free dial-in number is 1-800-715-9871, access code number 8149397. There will be a recording available for 30 days. If you are interested in hearing the recording, please dial 1-800-770-2030. The replay pass-code is 8149397#.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presentation containing further detail regarding our quarterly results of operations has been posted under the Investor Relations section of our website at </w:t>
      </w:r>
      <w:r>
        <w:rPr>
          <w:rFonts w:ascii="Times New Roman;Times;Serif" w:hAnsi="Times New Roman;Times;Serif"/>
          <w:b w:val="false"/>
          <w:i w:val="false"/>
          <w:caps w:val="false"/>
          <w:smallCaps w:val="false"/>
          <w:color w:val="0000FF"/>
          <w:sz w:val="20"/>
          <w:u w:val="single"/>
        </w:rPr>
        <w:t>www.oxfordsquarecapital.com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SQUARE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ASSETS AND LIABILITIES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9"/>
        <w:gridCol w:w="60"/>
        <w:gridCol w:w="140"/>
        <w:gridCol w:w="1295"/>
        <w:gridCol w:w="95"/>
        <w:gridCol w:w="60"/>
        <w:gridCol w:w="141"/>
        <w:gridCol w:w="1312"/>
        <w:gridCol w:w="93"/>
      </w:tblGrid>
      <w:tr>
        <w:trPr/>
        <w:tc>
          <w:tcPr>
            <w:tcW w:w="70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3" w:type="dxa"/>
            <w:tcBorders/>
            <w:vAlign w:val="center"/>
          </w:tcPr>
          <w:p>
            <w:pPr>
              <w:pStyle w:val="TableContents"/>
              <w:bidi w:val="0"/>
              <w:spacing w:before="0" w:after="283"/>
              <w:jc w:val="left"/>
              <w:rPr/>
            </w:pPr>
            <w:r>
              <w:rPr/>
              <w:t> </w:t>
            </w:r>
          </w:p>
        </w:tc>
      </w:tr>
      <w:tr>
        <w:trPr/>
        <w:tc>
          <w:tcPr>
            <w:tcW w:w="70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r>
      <w:tr>
        <w:trPr/>
        <w:tc>
          <w:tcPr>
            <w:tcW w:w="700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Non-affiliated/non-control investments (cost: $386,379,336 and $390,403,599,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252,842,694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251,731,345</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Cash equivalents (cost of $32,770,267 and $51,236,068,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32,770,267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51,236,068</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1,837,775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698,579</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Interest and distributions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1,933,335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2,002,161</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1,220,982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CCEEFF" w:val="clear"/>
            <w:tcMar>
              <w:bottom w:w="28" w:type="dxa"/>
            </w:tcMar>
            <w:vAlign w:val="center"/>
          </w:tcPr>
          <w:p>
            <w:pPr>
              <w:pStyle w:val="TableContents"/>
              <w:bidi w:val="0"/>
              <w:spacing w:before="0" w:after="283"/>
              <w:jc w:val="right"/>
              <w:rPr/>
            </w:pPr>
            <w:r>
              <w:rPr/>
              <w:t>1,070,958</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290,605,053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2" w:type="dxa"/>
            <w:tcBorders>
              <w:bottom w:val="double" w:sz="6" w:space="0" w:color="000000"/>
            </w:tcBorders>
            <w:shd w:fill="FFFFFF" w:val="clear"/>
            <w:tcMar>
              <w:bottom w:w="28" w:type="dxa"/>
            </w:tcMar>
            <w:vAlign w:val="center"/>
          </w:tcPr>
          <w:p>
            <w:pPr>
              <w:pStyle w:val="TableContents"/>
              <w:bidi w:val="0"/>
              <w:spacing w:before="0" w:after="283"/>
              <w:jc w:val="right"/>
              <w:rPr/>
            </w:pPr>
            <w:r>
              <w:rPr/>
              <w:t>306,739,111</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Notes payable – 5.50% Unsecured Notes, net of deferred issuance costs of $804,888 and $996,075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79,695,112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312" w:type="dxa"/>
            <w:tcBorders/>
            <w:shd w:fill="FFFFFF" w:val="clear"/>
            <w:vAlign w:val="center"/>
          </w:tcPr>
          <w:p>
            <w:pPr>
              <w:pStyle w:val="TableContents"/>
              <w:bidi w:val="0"/>
              <w:spacing w:before="0" w:after="283"/>
              <w:jc w:val="right"/>
              <w:rPr/>
            </w:pPr>
            <w:r>
              <w:rPr/>
              <w:t>79,503,925</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Notes payable – 7.75% Unsecured Notes, net of deferred issuance costs of $2,338,027 and $2,621,662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72,411,973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72,128,338</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1,703,438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1,703,438</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Base Fee and Net Investment Income Incentive Fee payable to affiliate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961,643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1,036,058</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804,942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1,017,581</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Securities purchased not settled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CCEEFF" w:val="clear"/>
            <w:tcMar>
              <w:bottom w:w="28" w:type="dxa"/>
            </w:tcMar>
            <w:vAlign w:val="center"/>
          </w:tcPr>
          <w:p>
            <w:pPr>
              <w:pStyle w:val="TableContents"/>
              <w:bidi w:val="0"/>
              <w:spacing w:before="0" w:after="283"/>
              <w:jc w:val="right"/>
              <w:rPr/>
            </w:pPr>
            <w:r>
              <w:rPr/>
              <w:t>5,944,969</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155,577,108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FFFFFF" w:val="clear"/>
            <w:tcMar>
              <w:bottom w:w="28" w:type="dxa"/>
            </w:tcMar>
            <w:vAlign w:val="center"/>
          </w:tcPr>
          <w:p>
            <w:pPr>
              <w:pStyle w:val="TableContents"/>
              <w:bidi w:val="0"/>
              <w:spacing w:before="0" w:after="283"/>
              <w:jc w:val="right"/>
              <w:rPr/>
            </w:pPr>
            <w:r>
              <w:rPr/>
              <w:t>161,334,309</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Common stock, $0.01 par value, 300,000,000 shares authorized; 105,058,242 and 86,060,964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1,050,583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860,610</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553,787,659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r>
              <w:rPr/>
              <w:t>523,040,484</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Total distributable earnings/(accumulated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(419,810,297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CCEEFF" w:val="clear"/>
            <w:tcMar>
              <w:bottom w:w="28" w:type="dxa"/>
            </w:tcMar>
            <w:vAlign w:val="center"/>
          </w:tcPr>
          <w:p>
            <w:pPr>
              <w:pStyle w:val="TableContents"/>
              <w:bidi w:val="0"/>
              <w:spacing w:before="0" w:after="283"/>
              <w:jc w:val="right"/>
              <w:rPr/>
            </w:pPr>
            <w:r>
              <w:rPr/>
              <w:t>(378,496,292</w:t>
            </w:r>
          </w:p>
        </w:tc>
        <w:tc>
          <w:tcPr>
            <w:tcW w:w="93" w:type="dxa"/>
            <w:tcBorders/>
            <w:shd w:fill="CCEEFF" w:val="clear"/>
            <w:vAlign w:val="center"/>
          </w:tcPr>
          <w:p>
            <w:pPr>
              <w:pStyle w:val="TableContents"/>
              <w:bidi w:val="0"/>
              <w:spacing w:before="0" w:after="283"/>
              <w:ind w:left="0" w:right="0" w:hanging="200"/>
              <w:jc w:val="left"/>
              <w:rPr/>
            </w:pPr>
            <w:r>
              <w:rPr/>
              <w:t>)</w:t>
            </w:r>
          </w:p>
        </w:tc>
      </w:tr>
      <w:tr>
        <w:trPr/>
        <w:tc>
          <w:tcPr>
            <w:tcW w:w="7009" w:type="dxa"/>
            <w:tcBorders/>
            <w:shd w:fill="FFFFFF" w:val="clear"/>
            <w:vAlign w:val="center"/>
          </w:tcPr>
          <w:p>
            <w:pPr>
              <w:pStyle w:val="TableContents"/>
              <w:bidi w:val="0"/>
              <w:spacing w:before="0" w:after="283"/>
              <w:jc w:val="left"/>
              <w:rPr/>
            </w:pPr>
            <w:r>
              <w:rPr/>
              <w:t>Total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135,027,945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FFFFFF" w:val="clear"/>
            <w:tcMar>
              <w:bottom w:w="28" w:type="dxa"/>
            </w:tcMar>
            <w:vAlign w:val="center"/>
          </w:tcPr>
          <w:p>
            <w:pPr>
              <w:pStyle w:val="TableContents"/>
              <w:bidi w:val="0"/>
              <w:spacing w:before="0" w:after="283"/>
              <w:jc w:val="right"/>
              <w:rPr/>
            </w:pPr>
            <w:r>
              <w:rPr/>
              <w:t>145,404,802</w:t>
            </w:r>
          </w:p>
        </w:tc>
        <w:tc>
          <w:tcPr>
            <w:tcW w:w="93" w:type="dxa"/>
            <w:tcBorders/>
            <w:shd w:fill="FFFFFF" w:val="clear"/>
            <w:vAlign w:val="center"/>
          </w:tcPr>
          <w:p>
            <w:pPr>
              <w:pStyle w:val="TableContents"/>
              <w:bidi w:val="0"/>
              <w:spacing w:before="0" w:after="283"/>
              <w:ind w:left="0" w:right="0" w:hanging="200"/>
              <w:jc w:val="left"/>
              <w:rPr/>
            </w:pPr>
            <w:r>
              <w:rPr/>
              <w:t> </w:t>
            </w:r>
          </w:p>
        </w:tc>
      </w:tr>
      <w:tr>
        <w:trPr/>
        <w:tc>
          <w:tcPr>
            <w:tcW w:w="7009" w:type="dxa"/>
            <w:tcBorders/>
            <w:shd w:fill="CCEEFF" w:val="clear"/>
            <w:vAlign w:val="center"/>
          </w:tcPr>
          <w:p>
            <w:pPr>
              <w:pStyle w:val="TableContents"/>
              <w:bidi w:val="0"/>
              <w:spacing w:before="0" w:after="283"/>
              <w:jc w:val="left"/>
              <w:rPr/>
            </w:pPr>
            <w:r>
              <w:rPr/>
              <w:t>Total liabilities and net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290,605,053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6" w:space="0" w:color="000000"/>
            </w:tcBorders>
            <w:shd w:fill="CCEEFF" w:val="clear"/>
            <w:tcMar>
              <w:bottom w:w="28" w:type="dxa"/>
            </w:tcMar>
            <w:vAlign w:val="center"/>
          </w:tcPr>
          <w:p>
            <w:pPr>
              <w:pStyle w:val="TableContents"/>
              <w:bidi w:val="0"/>
              <w:spacing w:before="0" w:after="283"/>
              <w:jc w:val="right"/>
              <w:rPr/>
            </w:pPr>
            <w:r>
              <w:rPr/>
              <w:t>306,739,111</w:t>
            </w:r>
          </w:p>
        </w:tc>
        <w:tc>
          <w:tcPr>
            <w:tcW w:w="93" w:type="dxa"/>
            <w:tcBorders/>
            <w:shd w:fill="CCEEFF" w:val="clear"/>
            <w:vAlign w:val="center"/>
          </w:tcPr>
          <w:p>
            <w:pPr>
              <w:pStyle w:val="TableContents"/>
              <w:bidi w:val="0"/>
              <w:spacing w:before="0" w:after="283"/>
              <w:ind w:left="0" w:right="0" w:hanging="200"/>
              <w:jc w:val="left"/>
              <w:rPr/>
            </w:pPr>
            <w:r>
              <w:rPr/>
              <w:t> </w:t>
            </w:r>
          </w:p>
        </w:tc>
      </w:tr>
      <w:tr>
        <w:trPr/>
        <w:tc>
          <w:tcPr>
            <w:tcW w:w="7009" w:type="dxa"/>
            <w:tcBorders/>
            <w:shd w:fill="FFFFFF" w:val="clear"/>
            <w:vAlign w:val="center"/>
          </w:tcPr>
          <w:p>
            <w:pPr>
              <w:pStyle w:val="TableContents"/>
              <w:bidi w:val="0"/>
              <w:spacing w:before="0" w:after="283"/>
              <w:jc w:val="left"/>
              <w:rPr/>
            </w:pPr>
            <w:r>
              <w:rPr/>
              <w:t>Net asset value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312" w:type="dxa"/>
            <w:tcBorders/>
            <w:shd w:fill="FFFFFF" w:val="clear"/>
            <w:vAlign w:val="center"/>
          </w:tcPr>
          <w:p>
            <w:pPr>
              <w:pStyle w:val="TableContents"/>
              <w:bidi w:val="0"/>
              <w:spacing w:before="0" w:after="283"/>
              <w:jc w:val="right"/>
              <w:rPr/>
            </w:pPr>
            <w:r>
              <w:rPr/>
              <w:t>1.69</w:t>
            </w:r>
          </w:p>
        </w:tc>
        <w:tc>
          <w:tcPr>
            <w:tcW w:w="9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SQUARE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b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86"/>
        <w:gridCol w:w="60"/>
        <w:gridCol w:w="166"/>
        <w:gridCol w:w="1314"/>
        <w:gridCol w:w="95"/>
        <w:gridCol w:w="60"/>
        <w:gridCol w:w="166"/>
        <w:gridCol w:w="1314"/>
        <w:gridCol w:w="95"/>
        <w:gridCol w:w="60"/>
        <w:gridCol w:w="141"/>
        <w:gridCol w:w="1184"/>
        <w:gridCol w:w="95"/>
        <w:gridCol w:w="60"/>
        <w:gridCol w:w="141"/>
        <w:gridCol w:w="1184"/>
        <w:gridCol w:w="84"/>
      </w:tblGrid>
      <w:tr>
        <w:trPr/>
        <w:tc>
          <w:tcPr>
            <w:tcW w:w="3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w:t>
              <w:br/>
              <w:t xml:space="preserve">Ended </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w:t>
              <w:br/>
              <w:t xml:space="preserve">Ended </w:t>
              <w:br/>
              <w:t>June 30, 2025</w:t>
            </w:r>
          </w:p>
        </w:tc>
        <w:tc>
          <w:tcPr>
            <w:tcW w:w="84" w:type="dxa"/>
            <w:tcBorders/>
            <w:vAlign w:val="center"/>
          </w:tcPr>
          <w:p>
            <w:pPr>
              <w:pStyle w:val="TableContents"/>
              <w:bidi w:val="0"/>
              <w:spacing w:before="0" w:after="283"/>
              <w:jc w:val="left"/>
              <w:rPr/>
            </w:pPr>
            <w:r>
              <w:rPr/>
              <w:t> </w:t>
            </w:r>
          </w:p>
        </w:tc>
      </w:tr>
      <w:tr>
        <w:trPr/>
        <w:tc>
          <w:tcPr>
            <w:tcW w:w="3986" w:type="dxa"/>
            <w:tcBorders/>
            <w:vAlign w:val="center"/>
          </w:tcPr>
          <w:p>
            <w:pPr>
              <w:pStyle w:val="TableContents"/>
              <w:bidi w:val="0"/>
              <w:spacing w:before="0" w:after="283"/>
              <w:jc w:val="left"/>
              <w:rPr>
                <w:b/>
              </w:rPr>
            </w:pPr>
            <w:r>
              <w:rPr>
                <w:b/>
              </w:rPr>
              <w:t>INVESTMENT INCOME</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3986" w:type="dxa"/>
            <w:tcBorders/>
            <w:vAlign w:val="center"/>
          </w:tcPr>
          <w:p>
            <w:pPr>
              <w:pStyle w:val="TableContents"/>
              <w:bidi w:val="0"/>
              <w:spacing w:before="0" w:after="283"/>
              <w:jc w:val="left"/>
              <w:rPr/>
            </w:pPr>
            <w:r>
              <w:rPr/>
              <w:t>From non-affiliated/non-control investments: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sz w:val="20"/>
              </w:rPr>
            </w:pPr>
            <w:r>
              <w:rPr>
                <w:sz w:val="20"/>
              </w:rPr>
              <w:t>Interest income – debt investments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4,535,789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4,228,193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8,854,539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9,054,597</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sz w:val="20"/>
              </w:rPr>
            </w:pPr>
            <w:r>
              <w:rPr>
                <w:sz w:val="20"/>
              </w:rPr>
              <w:t>Interest income – debt investments – payment-in-kind (“PIK”)</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896,600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857,257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1,683,522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1,565,608</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Income from securitization vehicles and investments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3,508,746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3,855,072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6,732,944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7,811,125</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460,958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581,659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1,073,766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1,251,901</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Total investment income from non-affiliated/</w:t>
              <w:br/>
              <w:t>non-control investments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9,402,093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9,522,181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18,344,771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19,683,231</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Total investment income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9,402,093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9,522,181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18,344,771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19,683,231</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b/>
              </w:rPr>
            </w:pPr>
            <w:r>
              <w:rPr>
                <w:b/>
              </w:rPr>
              <w:t>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2,793,880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1,929,045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5,585,135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3,888,332</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Base Fee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961,643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1,036,312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1,952,274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2,095,097</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441,487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444,251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788,114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767,703</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Compensation expense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232,163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228,296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479,093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467,873</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358,743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360,127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671,409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715,386</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Excise tax</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(523,888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24,585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(419,110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145,401</w:t>
            </w:r>
          </w:p>
        </w:tc>
        <w:tc>
          <w:tcPr>
            <w:tcW w:w="84" w:type="dxa"/>
            <w:tcBorders/>
            <w:shd w:fill="CCEEFF" w:val="clear"/>
            <w:vAlign w:val="center"/>
          </w:tcPr>
          <w:p>
            <w:pPr>
              <w:pStyle w:val="TableContents"/>
              <w:bidi w:val="0"/>
              <w:spacing w:before="0" w:after="283"/>
              <w:ind w:left="0" w:right="0" w:hanging="200"/>
              <w:jc w:val="left"/>
              <w:rPr>
                <w:sz w:val="4"/>
                <w:szCs w:val="4"/>
              </w:rPr>
            </w:pPr>
            <w:r>
              <w:rPr>
                <w:sz w:val="4"/>
                <w:szCs w:val="4"/>
              </w:rPr>
            </w:r>
          </w:p>
        </w:tc>
      </w:tr>
      <w:tr>
        <w:trPr/>
        <w:tc>
          <w:tcPr>
            <w:tcW w:w="3986" w:type="dxa"/>
            <w:tcBorders/>
            <w:shd w:fill="FFFFFF" w:val="clear"/>
            <w:vAlign w:val="center"/>
          </w:tcPr>
          <w:p>
            <w:pPr>
              <w:pStyle w:val="TableContents"/>
              <w:bidi w:val="0"/>
              <w:spacing w:before="0" w:after="283"/>
              <w:jc w:val="left"/>
              <w:rPr/>
            </w:pPr>
            <w:r>
              <w:rPr/>
              <w:t>Total expenses before incentive fees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4,264,028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4,022,616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9,056,915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8,079,792</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Net Investment Income Incentive Fees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Total incentive fees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4,264,028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4,022,616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9,056,915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8,079,792</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5,138,065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5,499,565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9,287,856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11,603,439</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b/>
              </w:rPr>
            </w:pPr>
            <w:r>
              <w:rPr>
                <w:b/>
              </w:rPr>
              <w:t>NET CHANGE IN UNREALIZED APPRECIATION/(DEPRECIATION) AND NET REALIZED LOSSES ON INVESTMENT TRANSACTIONS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Net change in unrealized appreciation/(depreciation) on investments: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200"/>
              <w:jc w:val="left"/>
              <w:rPr/>
            </w:pPr>
            <w:r>
              <w:rPr/>
              <w:t> </w:t>
            </w:r>
          </w:p>
        </w:tc>
      </w:tr>
      <w:tr>
        <w:trPr/>
        <w:tc>
          <w:tcPr>
            <w:tcW w:w="3986" w:type="dxa"/>
            <w:tcBorders/>
            <w:shd w:fill="CCEEFF" w:val="clear"/>
            <w:vAlign w:val="center"/>
          </w:tcPr>
          <w:p>
            <w:pPr>
              <w:pStyle w:val="TableContents"/>
              <w:bidi w:val="0"/>
              <w:spacing w:before="0" w:after="283"/>
              <w:jc w:val="left"/>
              <w:rPr/>
            </w:pPr>
            <w:r>
              <w:rPr/>
              <w:t>Non-Affiliate/non-control investments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4,071,759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1,253,135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5,135,612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(813,761</w:t>
            </w:r>
          </w:p>
        </w:tc>
        <w:tc>
          <w:tcPr>
            <w:tcW w:w="84" w:type="dxa"/>
            <w:tcBorders/>
            <w:shd w:fill="CCEEFF" w:val="clear"/>
            <w:vAlign w:val="center"/>
          </w:tcPr>
          <w:p>
            <w:pPr>
              <w:pStyle w:val="TableContents"/>
              <w:bidi w:val="0"/>
              <w:spacing w:before="0" w:after="283"/>
              <w:ind w:left="0" w:right="0" w:hanging="200"/>
              <w:jc w:val="left"/>
              <w:rPr/>
            </w:pPr>
            <w:r>
              <w:rPr/>
              <w:t>)</w:t>
            </w:r>
          </w:p>
        </w:tc>
      </w:tr>
      <w:tr>
        <w:trPr/>
        <w:tc>
          <w:tcPr>
            <w:tcW w:w="3986" w:type="dxa"/>
            <w:tcBorders/>
            <w:shd w:fill="FFFFFF" w:val="clear"/>
            <w:vAlign w:val="center"/>
          </w:tcPr>
          <w:p>
            <w:pPr>
              <w:pStyle w:val="TableContents"/>
              <w:bidi w:val="0"/>
              <w:spacing w:before="0" w:after="283"/>
              <w:jc w:val="left"/>
              <w:rPr/>
            </w:pPr>
            <w:r>
              <w:rPr/>
              <w:t>Total net change in unrealized appreciation/(depreciation) on investments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4,071,759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1,253,135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5,135,612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(813,761</w:t>
            </w:r>
          </w:p>
        </w:tc>
        <w:tc>
          <w:tcPr>
            <w:tcW w:w="84" w:type="dxa"/>
            <w:tcBorders/>
            <w:shd w:fill="FFFFFF" w:val="clear"/>
            <w:vAlign w:val="center"/>
          </w:tcPr>
          <w:p>
            <w:pPr>
              <w:pStyle w:val="TableContents"/>
              <w:bidi w:val="0"/>
              <w:spacing w:before="0" w:after="283"/>
              <w:ind w:left="0" w:right="0" w:hanging="200"/>
              <w:jc w:val="left"/>
              <w:rPr/>
            </w:pPr>
            <w:r>
              <w:rPr/>
              <w:t>)</w:t>
            </w:r>
          </w:p>
        </w:tc>
      </w:tr>
      <w:tr>
        <w:trPr/>
        <w:tc>
          <w:tcPr>
            <w:tcW w:w="3986" w:type="dxa"/>
            <w:tcBorders/>
            <w:shd w:fill="CCEEFF" w:val="clear"/>
            <w:vAlign w:val="center"/>
          </w:tcPr>
          <w:p>
            <w:pPr>
              <w:pStyle w:val="TableContents"/>
              <w:bidi w:val="0"/>
              <w:spacing w:before="0" w:after="283"/>
              <w:jc w:val="left"/>
              <w:rPr/>
            </w:pPr>
            <w:r>
              <w:rPr/>
              <w:t>Net realized losses: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Non-affiliated/non-control investments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(5,216,274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(2,321,562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(35,954,739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(14,480,057</w:t>
            </w:r>
          </w:p>
        </w:tc>
        <w:tc>
          <w:tcPr>
            <w:tcW w:w="84" w:type="dxa"/>
            <w:tcBorders/>
            <w:shd w:fill="FFFFFF" w:val="clear"/>
            <w:vAlign w:val="center"/>
          </w:tcPr>
          <w:p>
            <w:pPr>
              <w:pStyle w:val="TableContents"/>
              <w:bidi w:val="0"/>
              <w:spacing w:before="0" w:after="283"/>
              <w:ind w:left="0" w:right="0" w:hanging="200"/>
              <w:jc w:val="left"/>
              <w:rPr/>
            </w:pPr>
            <w:r>
              <w:rPr/>
              <w:t>)</w:t>
            </w:r>
          </w:p>
        </w:tc>
      </w:tr>
      <w:tr>
        <w:trPr/>
        <w:tc>
          <w:tcPr>
            <w:tcW w:w="3986" w:type="dxa"/>
            <w:tcBorders/>
            <w:shd w:fill="CCEEFF" w:val="clear"/>
            <w:vAlign w:val="center"/>
          </w:tcPr>
          <w:p>
            <w:pPr>
              <w:pStyle w:val="TableContents"/>
              <w:bidi w:val="0"/>
              <w:spacing w:before="0" w:after="283"/>
              <w:jc w:val="left"/>
              <w:rPr/>
            </w:pPr>
            <w:r>
              <w:rPr/>
              <w:t>Extinguishment of debt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(45,781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(45,781</w:t>
            </w:r>
          </w:p>
        </w:tc>
        <w:tc>
          <w:tcPr>
            <w:tcW w:w="84" w:type="dxa"/>
            <w:tcBorders/>
            <w:shd w:fill="CCEEFF" w:val="clear"/>
            <w:vAlign w:val="center"/>
          </w:tcPr>
          <w:p>
            <w:pPr>
              <w:pStyle w:val="TableContents"/>
              <w:bidi w:val="0"/>
              <w:spacing w:before="0" w:after="283"/>
              <w:ind w:left="0" w:right="0" w:hanging="200"/>
              <w:jc w:val="left"/>
              <w:rPr/>
            </w:pPr>
            <w:r>
              <w:rPr/>
              <w:t>)</w:t>
            </w:r>
          </w:p>
        </w:tc>
      </w:tr>
      <w:tr>
        <w:trPr/>
        <w:tc>
          <w:tcPr>
            <w:tcW w:w="3986" w:type="dxa"/>
            <w:tcBorders/>
            <w:shd w:fill="FFFFFF" w:val="clear"/>
            <w:vAlign w:val="center"/>
          </w:tcPr>
          <w:p>
            <w:pPr>
              <w:pStyle w:val="TableContents"/>
              <w:bidi w:val="0"/>
              <w:spacing w:before="0" w:after="283"/>
              <w:jc w:val="left"/>
              <w:rPr/>
            </w:pPr>
            <w:r>
              <w:rPr/>
              <w:t>Total net realized losses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(5,216,274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(2,367,343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(35,954,739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FFFFFF" w:val="clear"/>
            <w:tcMar>
              <w:bottom w:w="28" w:type="dxa"/>
            </w:tcMar>
            <w:vAlign w:val="center"/>
          </w:tcPr>
          <w:p>
            <w:pPr>
              <w:pStyle w:val="TableContents"/>
              <w:bidi w:val="0"/>
              <w:spacing w:before="0" w:after="283"/>
              <w:jc w:val="right"/>
              <w:rPr/>
            </w:pPr>
            <w:r>
              <w:rPr/>
              <w:t>(14,525,838</w:t>
            </w:r>
          </w:p>
        </w:tc>
        <w:tc>
          <w:tcPr>
            <w:tcW w:w="84" w:type="dxa"/>
            <w:tcBorders/>
            <w:shd w:fill="FFFFFF" w:val="clear"/>
            <w:vAlign w:val="center"/>
          </w:tcPr>
          <w:p>
            <w:pPr>
              <w:pStyle w:val="TableContents"/>
              <w:bidi w:val="0"/>
              <w:spacing w:before="0" w:after="283"/>
              <w:ind w:left="0" w:right="0" w:hanging="200"/>
              <w:jc w:val="left"/>
              <w:rPr/>
            </w:pPr>
            <w:r>
              <w:rPr/>
              <w:t>)</w:t>
            </w:r>
          </w:p>
        </w:tc>
      </w:tr>
      <w:tr>
        <w:trPr/>
        <w:tc>
          <w:tcPr>
            <w:tcW w:w="3986" w:type="dxa"/>
            <w:tcBorders/>
            <w:shd w:fill="CCEEFF" w:val="clear"/>
            <w:vAlign w:val="center"/>
          </w:tcPr>
          <w:p>
            <w:pPr>
              <w:pStyle w:val="TableContents"/>
              <w:bidi w:val="0"/>
              <w:spacing w:before="0" w:after="283"/>
              <w:jc w:val="left"/>
              <w:rPr/>
            </w:pPr>
            <w:r>
              <w:rPr/>
              <w:t>Net change in unrealized and realized losses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(1,144,515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(1,114,208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(30,819,127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pPr>
            <w:r>
              <w:rPr/>
              <w:t>(15,339,599</w:t>
            </w:r>
          </w:p>
        </w:tc>
        <w:tc>
          <w:tcPr>
            <w:tcW w:w="84" w:type="dxa"/>
            <w:tcBorders/>
            <w:shd w:fill="CCEEFF" w:val="clear"/>
            <w:vAlign w:val="center"/>
          </w:tcPr>
          <w:p>
            <w:pPr>
              <w:pStyle w:val="TableContents"/>
              <w:bidi w:val="0"/>
              <w:spacing w:before="0" w:after="283"/>
              <w:ind w:left="0" w:right="0" w:hanging="200"/>
              <w:jc w:val="left"/>
              <w:rPr/>
            </w:pPr>
            <w:r>
              <w:rPr/>
              <w:t>)</w:t>
            </w:r>
          </w:p>
        </w:tc>
      </w:tr>
      <w:tr>
        <w:trPr/>
        <w:tc>
          <w:tcPr>
            <w:tcW w:w="3986" w:type="dxa"/>
            <w:tcBorders/>
            <w:shd w:fill="FFFFFF" w:val="clear"/>
            <w:vAlign w:val="center"/>
          </w:tcPr>
          <w:p>
            <w:pPr>
              <w:pStyle w:val="TableContents"/>
              <w:bidi w:val="0"/>
              <w:spacing w:before="0" w:after="283"/>
              <w:jc w:val="left"/>
              <w:rPr/>
            </w:pPr>
            <w:r>
              <w:rPr/>
              <w:t>Net increase/(decrease)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4" w:type="dxa"/>
            <w:tcBorders>
              <w:bottom w:val="double" w:sz="6" w:space="0" w:color="000000"/>
            </w:tcBorders>
            <w:shd w:fill="FFFFFF" w:val="clear"/>
            <w:tcMar>
              <w:bottom w:w="28" w:type="dxa"/>
            </w:tcMar>
            <w:vAlign w:val="center"/>
          </w:tcPr>
          <w:p>
            <w:pPr>
              <w:pStyle w:val="TableContents"/>
              <w:bidi w:val="0"/>
              <w:spacing w:before="0" w:after="283"/>
              <w:jc w:val="right"/>
              <w:rPr/>
            </w:pPr>
            <w:r>
              <w:rPr/>
              <w:t>3,993,550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4" w:type="dxa"/>
            <w:tcBorders>
              <w:bottom w:val="double" w:sz="6" w:space="0" w:color="000000"/>
            </w:tcBorders>
            <w:shd w:fill="FFFFFF" w:val="clear"/>
            <w:tcMar>
              <w:bottom w:w="28" w:type="dxa"/>
            </w:tcMar>
            <w:vAlign w:val="center"/>
          </w:tcPr>
          <w:p>
            <w:pPr>
              <w:pStyle w:val="TableContents"/>
              <w:bidi w:val="0"/>
              <w:spacing w:before="0" w:after="283"/>
              <w:jc w:val="right"/>
              <w:rPr/>
            </w:pPr>
            <w:r>
              <w:rPr/>
              <w:t>4,385,357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pPr>
            <w:r>
              <w:rPr/>
              <w:t>(21,531,271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pPr>
            <w:r>
              <w:rPr/>
              <w:t>(3,736,160</w:t>
            </w:r>
          </w:p>
        </w:tc>
        <w:tc>
          <w:tcPr>
            <w:tcW w:w="84" w:type="dxa"/>
            <w:tcBorders/>
            <w:shd w:fill="FFFFFF" w:val="clear"/>
            <w:vAlign w:val="center"/>
          </w:tcPr>
          <w:p>
            <w:pPr>
              <w:pStyle w:val="TableContents"/>
              <w:bidi w:val="0"/>
              <w:spacing w:before="0" w:after="283"/>
              <w:ind w:left="0" w:right="0" w:hanging="200"/>
              <w:jc w:val="left"/>
              <w:rPr/>
            </w:pPr>
            <w:r>
              <w:rPr/>
              <w:t>)</w:t>
            </w:r>
          </w:p>
        </w:tc>
      </w:tr>
      <w:tr>
        <w:trPr/>
        <w:tc>
          <w:tcPr>
            <w:tcW w:w="3986" w:type="dxa"/>
            <w:tcBorders/>
            <w:shd w:fill="CCEEFF" w:val="clear"/>
            <w:vAlign w:val="center"/>
          </w:tcPr>
          <w:p>
            <w:pPr>
              <w:pStyle w:val="TableContents"/>
              <w:bidi w:val="0"/>
              <w:spacing w:before="0" w:after="283"/>
              <w:jc w:val="left"/>
              <w:rPr/>
            </w:pPr>
            <w:r>
              <w:rPr/>
              <w:t>Net increase in net assets resulting from net investment income per common share (Basic and Diluted):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0.16</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Net increase/(decrease) in net assets resulting from operations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14"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14"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4" w:type="dxa"/>
            <w:tcBorders/>
            <w:shd w:fill="FFFFFF" w:val="cle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4" w:type="dxa"/>
            <w:tcBorders/>
            <w:shd w:fill="FFFFFF" w:val="clear"/>
            <w:vAlign w:val="center"/>
          </w:tcPr>
          <w:p>
            <w:pPr>
              <w:pStyle w:val="TableContents"/>
              <w:bidi w:val="0"/>
              <w:spacing w:before="0" w:after="283"/>
              <w:jc w:val="right"/>
              <w:rPr/>
            </w:pPr>
            <w:r>
              <w:rPr/>
              <w:t>(0.05</w:t>
            </w:r>
          </w:p>
        </w:tc>
        <w:tc>
          <w:tcPr>
            <w:tcW w:w="84" w:type="dxa"/>
            <w:tcBorders/>
            <w:shd w:fill="FFFFFF" w:val="clear"/>
            <w:vAlign w:val="center"/>
          </w:tcPr>
          <w:p>
            <w:pPr>
              <w:pStyle w:val="TableContents"/>
              <w:bidi w:val="0"/>
              <w:spacing w:before="0" w:after="283"/>
              <w:ind w:left="0" w:right="0" w:hanging="200"/>
              <w:jc w:val="left"/>
              <w:rPr/>
            </w:pPr>
            <w:r>
              <w:rPr/>
              <w:t>)</w:t>
            </w:r>
          </w:p>
        </w:tc>
      </w:tr>
      <w:tr>
        <w:trPr/>
        <w:tc>
          <w:tcPr>
            <w:tcW w:w="3986" w:type="dxa"/>
            <w:tcBorders/>
            <w:shd w:fill="CCEEFF" w:val="clear"/>
            <w:vAlign w:val="center"/>
          </w:tcPr>
          <w:p>
            <w:pPr>
              <w:pStyle w:val="TableContents"/>
              <w:bidi w:val="0"/>
              <w:spacing w:before="0" w:after="283"/>
              <w:jc w:val="left"/>
              <w:rPr/>
            </w:pPr>
            <w:r>
              <w:rPr/>
              <w:t>Weighted average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99,273,482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73,243,091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93,806,171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71,622,922</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3986" w:type="dxa"/>
            <w:tcBorders/>
            <w:shd w:fill="FFFFFF" w:val="clear"/>
            <w:vAlign w:val="center"/>
          </w:tcPr>
          <w:p>
            <w:pPr>
              <w:pStyle w:val="TableContents"/>
              <w:bidi w:val="0"/>
              <w:spacing w:before="0" w:after="283"/>
              <w:jc w:val="left"/>
              <w:rPr/>
            </w:pPr>
            <w:r>
              <w:rPr/>
              <w:t>Distributions per share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14" w:type="dxa"/>
            <w:tcBorders/>
            <w:shd w:fill="FFFFFF" w:val="clear"/>
            <w:vAlign w:val="center"/>
          </w:tcPr>
          <w:p>
            <w:pPr>
              <w:pStyle w:val="TableContents"/>
              <w:bidi w:val="0"/>
              <w:spacing w:before="0" w:after="283"/>
              <w:jc w:val="right"/>
              <w:rPr/>
            </w:pPr>
            <w:r>
              <w:rPr/>
              <w:t>0.105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14" w:type="dxa"/>
            <w:tcBorders/>
            <w:shd w:fill="FFFFFF" w:val="clear"/>
            <w:vAlign w:val="center"/>
          </w:tcPr>
          <w:p>
            <w:pPr>
              <w:pStyle w:val="TableContents"/>
              <w:bidi w:val="0"/>
              <w:spacing w:before="0" w:after="283"/>
              <w:jc w:val="right"/>
              <w:rPr/>
            </w:pPr>
            <w:r>
              <w:rPr/>
              <w:t>0.105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4" w:type="dxa"/>
            <w:tcBorders/>
            <w:shd w:fill="FFFFFF" w:val="clear"/>
            <w:vAlign w:val="center"/>
          </w:tcPr>
          <w:p>
            <w:pPr>
              <w:pStyle w:val="TableContents"/>
              <w:bidi w:val="0"/>
              <w:spacing w:before="0" w:after="283"/>
              <w:jc w:val="right"/>
              <w:rPr/>
            </w:pPr>
            <w:r>
              <w:rPr/>
              <w:t>0.210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4" w:type="dxa"/>
            <w:tcBorders/>
            <w:shd w:fill="FFFFFF" w:val="clear"/>
            <w:vAlign w:val="center"/>
          </w:tcPr>
          <w:p>
            <w:pPr>
              <w:pStyle w:val="TableContents"/>
              <w:bidi w:val="0"/>
              <w:spacing w:before="0" w:after="283"/>
              <w:jc w:val="right"/>
              <w:rPr/>
            </w:pPr>
            <w:r>
              <w:rPr/>
              <w:t>0.210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833" w:type="dxa"/>
        <w:jc w:val="left"/>
        <w:tblInd w:w="0" w:type="dxa"/>
        <w:tblLayout w:type="fixed"/>
        <w:tblCellMar>
          <w:top w:w="0" w:type="dxa"/>
          <w:left w:w="0" w:type="dxa"/>
          <w:bottom w:w="0" w:type="dxa"/>
          <w:right w:w="0" w:type="dxa"/>
        </w:tblCellMar>
      </w:tblPr>
      <w:tblGrid>
        <w:gridCol w:w="38"/>
        <w:gridCol w:w="29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(1)</w:t>
            </w:r>
          </w:p>
        </w:tc>
        <w:tc>
          <w:tcPr>
            <w:tcW w:w="7505" w:type="dxa"/>
            <w:tcBorders/>
            <w:vAlign w:val="center"/>
          </w:tcPr>
          <w:p>
            <w:pPr>
              <w:pStyle w:val="TableContents"/>
              <w:bidi w:val="0"/>
              <w:spacing w:before="0" w:after="283"/>
              <w:jc w:val="left"/>
              <w:rPr/>
            </w:pPr>
            <w:r>
              <w:rPr/>
              <w:t>Change in prior period was made to conform to the current period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for the three and six months ended June 30, 2026 and 2025, respectively, are as follows:</w:t>
      </w:r>
    </w:p>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1"/>
        <w:gridCol w:w="60"/>
        <w:gridCol w:w="153"/>
        <w:gridCol w:w="1347"/>
        <w:gridCol w:w="248"/>
        <w:gridCol w:w="60"/>
        <w:gridCol w:w="168"/>
        <w:gridCol w:w="1332"/>
        <w:gridCol w:w="248"/>
        <w:gridCol w:w="60"/>
        <w:gridCol w:w="140"/>
        <w:gridCol w:w="1220"/>
        <w:gridCol w:w="248"/>
        <w:gridCol w:w="60"/>
        <w:gridCol w:w="140"/>
        <w:gridCol w:w="1100"/>
        <w:gridCol w:w="270"/>
      </w:tblGrid>
      <w:tr>
        <w:trPr/>
        <w:tc>
          <w:tcPr>
            <w:tcW w:w="33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 xml:space="preserve">June 30, </w:t>
              <w:br/>
              <w:t>2026</w:t>
            </w:r>
          </w:p>
        </w:tc>
        <w:tc>
          <w:tcPr>
            <w:tcW w:w="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 xml:space="preserve">June 30, </w:t>
              <w:br/>
              <w:t>2025</w:t>
            </w:r>
          </w:p>
        </w:tc>
        <w:tc>
          <w:tcPr>
            <w:tcW w:w="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w:t>
              <w:br/>
              <w:t xml:space="preserve">Ended </w:t>
              <w:br/>
              <w:t xml:space="preserve">June 30, </w:t>
              <w:br/>
              <w:t>2026</w:t>
            </w:r>
          </w:p>
        </w:tc>
        <w:tc>
          <w:tcPr>
            <w:tcW w:w="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w:t>
              <w:br/>
              <w:t xml:space="preserve">Ended </w:t>
              <w:br/>
              <w:t xml:space="preserve">June 30, </w:t>
              <w:br/>
              <w:t>2025</w:t>
            </w:r>
          </w:p>
        </w:tc>
        <w:tc>
          <w:tcPr>
            <w:tcW w:w="270" w:type="dxa"/>
            <w:tcBorders/>
            <w:vAlign w:val="center"/>
          </w:tcPr>
          <w:p>
            <w:pPr>
              <w:pStyle w:val="TableContents"/>
              <w:bidi w:val="0"/>
              <w:spacing w:before="0" w:after="283"/>
              <w:jc w:val="left"/>
              <w:rPr/>
            </w:pPr>
            <w:r>
              <w:rPr/>
              <w:t> </w:t>
            </w:r>
          </w:p>
        </w:tc>
      </w:tr>
      <w:tr>
        <w:trPr/>
        <w:tc>
          <w:tcPr>
            <w:tcW w:w="3351" w:type="dxa"/>
            <w:tcBorders/>
            <w:vAlign w:val="center"/>
          </w:tcPr>
          <w:p>
            <w:pPr>
              <w:pStyle w:val="TableContents"/>
              <w:bidi w:val="0"/>
              <w:spacing w:before="0" w:after="283"/>
              <w:jc w:val="left"/>
              <w:rPr>
                <w:b/>
              </w:rPr>
            </w:pPr>
            <w:r>
              <w:rPr>
                <w:b/>
              </w:rPr>
              <w:t>Per Share Data</w:t>
            </w:r>
          </w:p>
        </w:tc>
        <w:tc>
          <w:tcPr>
            <w:tcW w:w="60"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ind w:left="0" w:right="0" w:hanging="200"/>
              <w:jc w:val="left"/>
              <w:rPr/>
            </w:pPr>
            <w:r>
              <w:rPr/>
              <w:t> </w:t>
            </w:r>
          </w:p>
        </w:tc>
      </w:tr>
      <w:tr>
        <w:trPr/>
        <w:tc>
          <w:tcPr>
            <w:tcW w:w="3351" w:type="dxa"/>
            <w:tcBorders/>
            <w:shd w:fill="CCEEFF" w:val="clear"/>
            <w:vAlign w:val="center"/>
          </w:tcPr>
          <w:p>
            <w:pPr>
              <w:pStyle w:val="TableContents"/>
              <w:bidi w:val="0"/>
              <w:spacing w:before="0" w:after="283"/>
              <w:jc w:val="left"/>
              <w:rPr/>
            </w:pPr>
            <w:r>
              <w:rPr/>
              <w:t>Net asset value at beginning of period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1.32</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32"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1.69</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270" w:type="dxa"/>
            <w:tcBorders/>
            <w:shd w:fill="CCEEFF" w:val="clear"/>
            <w:vAlign w:val="center"/>
          </w:tcPr>
          <w:p>
            <w:pPr>
              <w:pStyle w:val="TableContents"/>
              <w:bidi w:val="0"/>
              <w:spacing w:before="0" w:after="283"/>
              <w:ind w:left="0" w:right="0" w:hanging="200"/>
              <w:jc w:val="left"/>
              <w:rPr/>
            </w:pPr>
            <w:r>
              <w:rPr/>
              <w:t> </w:t>
            </w:r>
          </w:p>
        </w:tc>
      </w:tr>
      <w:tr>
        <w:trPr/>
        <w:tc>
          <w:tcPr>
            <w:tcW w:w="3351" w:type="dxa"/>
            <w:tcBorders/>
            <w:shd w:fill="FFFFFF" w:val="clear"/>
            <w:vAlign w:val="center"/>
          </w:tcPr>
          <w:p>
            <w:pPr>
              <w:pStyle w:val="TableContents"/>
              <w:bidi w:val="0"/>
              <w:spacing w:before="0" w:after="283"/>
              <w:jc w:val="left"/>
              <w:rPr>
                <w:sz w:val="20"/>
              </w:rPr>
            </w:pPr>
            <w:r>
              <w:rPr>
                <w:sz w:val="20"/>
              </w:rPr>
              <w:t>Net investment income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0.05</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0.08</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0.10</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0.16</w:t>
            </w:r>
          </w:p>
        </w:tc>
        <w:tc>
          <w:tcPr>
            <w:tcW w:w="270" w:type="dxa"/>
            <w:tcBorders/>
            <w:shd w:fill="FFFFFF" w:val="clear"/>
            <w:vAlign w:val="center"/>
          </w:tcPr>
          <w:p>
            <w:pPr>
              <w:pStyle w:val="TableContents"/>
              <w:bidi w:val="0"/>
              <w:spacing w:before="0" w:after="283"/>
              <w:ind w:left="0" w:right="0" w:hanging="200"/>
              <w:jc w:val="left"/>
              <w:rPr/>
            </w:pPr>
            <w:r>
              <w:rPr/>
              <w:t> </w:t>
            </w:r>
          </w:p>
        </w:tc>
      </w:tr>
      <w:tr>
        <w:trPr/>
        <w:tc>
          <w:tcPr>
            <w:tcW w:w="3351" w:type="dxa"/>
            <w:tcBorders/>
            <w:shd w:fill="CCEEFF" w:val="clear"/>
            <w:vAlign w:val="center"/>
          </w:tcPr>
          <w:p>
            <w:pPr>
              <w:pStyle w:val="TableContents"/>
              <w:bidi w:val="0"/>
              <w:spacing w:before="0" w:after="283"/>
              <w:jc w:val="left"/>
              <w:rPr>
                <w:sz w:val="20"/>
              </w:rPr>
            </w:pPr>
            <w:r>
              <w:rPr>
                <w:sz w:val="20"/>
              </w:rPr>
              <w:t>Net realized and unrealized (losses)/gains</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CCEEFF" w:val="clear"/>
            <w:tcMar>
              <w:bottom w:w="28" w:type="dxa"/>
            </w:tcMar>
            <w:vAlign w:val="center"/>
          </w:tcPr>
          <w:p>
            <w:pPr>
              <w:pStyle w:val="TableContents"/>
              <w:bidi w:val="0"/>
              <w:spacing w:before="0" w:after="283"/>
              <w:jc w:val="right"/>
              <w:rPr/>
            </w:pPr>
            <w:r>
              <w:rPr/>
              <w:t>(0.02</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(0.32</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(0.21</w:t>
            </w:r>
          </w:p>
        </w:tc>
        <w:tc>
          <w:tcPr>
            <w:tcW w:w="270" w:type="dxa"/>
            <w:tcBorders/>
            <w:shd w:fill="CCEEFF" w:val="clear"/>
            <w:vAlign w:val="center"/>
          </w:tcPr>
          <w:p>
            <w:pPr>
              <w:pStyle w:val="TableContents"/>
              <w:bidi w:val="0"/>
              <w:spacing w:before="0" w:after="283"/>
              <w:ind w:left="0" w:right="0" w:hanging="200"/>
              <w:jc w:val="left"/>
              <w:rPr/>
            </w:pPr>
            <w:r>
              <w:rPr/>
              <w:t>)</w:t>
            </w:r>
          </w:p>
        </w:tc>
      </w:tr>
      <w:tr>
        <w:trPr/>
        <w:tc>
          <w:tcPr>
            <w:tcW w:w="3351" w:type="dxa"/>
            <w:tcBorders/>
            <w:shd w:fill="FFFFFF" w:val="clear"/>
            <w:vAlign w:val="center"/>
          </w:tcPr>
          <w:p>
            <w:pPr>
              <w:pStyle w:val="TableContents"/>
              <w:bidi w:val="0"/>
              <w:spacing w:before="0" w:after="283"/>
              <w:jc w:val="left"/>
              <w:rPr/>
            </w:pPr>
            <w:r>
              <w:rPr/>
              <w:t>Net (decrease)/increase in net asset value from operations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0.05</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FFFFFF" w:val="clear"/>
            <w:tcMar>
              <w:bottom w:w="28" w:type="dxa"/>
            </w:tcMar>
            <w:vAlign w:val="center"/>
          </w:tcPr>
          <w:p>
            <w:pPr>
              <w:pStyle w:val="TableContents"/>
              <w:bidi w:val="0"/>
              <w:spacing w:before="0" w:after="283"/>
              <w:jc w:val="right"/>
              <w:rPr/>
            </w:pPr>
            <w:r>
              <w:rPr/>
              <w:t>0.06</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(0.22</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(0.05</w:t>
            </w:r>
          </w:p>
        </w:tc>
        <w:tc>
          <w:tcPr>
            <w:tcW w:w="270" w:type="dxa"/>
            <w:tcBorders/>
            <w:shd w:fill="FFFFFF" w:val="clear"/>
            <w:vAlign w:val="center"/>
          </w:tcPr>
          <w:p>
            <w:pPr>
              <w:pStyle w:val="TableContents"/>
              <w:bidi w:val="0"/>
              <w:spacing w:before="0" w:after="283"/>
              <w:ind w:left="0" w:right="0" w:hanging="200"/>
              <w:jc w:val="left"/>
              <w:rPr/>
            </w:pPr>
            <w:r>
              <w:rPr/>
              <w:t>)</w:t>
            </w:r>
          </w:p>
        </w:tc>
      </w:tr>
      <w:tr>
        <w:trPr/>
        <w:tc>
          <w:tcPr>
            <w:tcW w:w="3351" w:type="dxa"/>
            <w:tcBorders/>
            <w:shd w:fill="CCEEFF" w:val="clear"/>
            <w:vAlign w:val="center"/>
          </w:tcPr>
          <w:p>
            <w:pPr>
              <w:pStyle w:val="TableContents"/>
              <w:bidi w:val="0"/>
              <w:spacing w:before="0" w:after="283"/>
              <w:jc w:val="left"/>
              <w:rPr>
                <w:sz w:val="20"/>
              </w:rPr>
            </w:pPr>
            <w:r>
              <w:rPr>
                <w:sz w:val="20"/>
              </w:rPr>
              <w:t>Distributions per share from net investment income</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(0.11</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(0.11</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(0.21</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(0.21</w:t>
            </w:r>
          </w:p>
        </w:tc>
        <w:tc>
          <w:tcPr>
            <w:tcW w:w="270" w:type="dxa"/>
            <w:tcBorders/>
            <w:shd w:fill="CCEEFF" w:val="clear"/>
            <w:vAlign w:val="center"/>
          </w:tcPr>
          <w:p>
            <w:pPr>
              <w:pStyle w:val="TableContents"/>
              <w:bidi w:val="0"/>
              <w:spacing w:before="0" w:after="283"/>
              <w:ind w:left="0" w:right="0" w:hanging="200"/>
              <w:jc w:val="left"/>
              <w:rPr/>
            </w:pPr>
            <w:r>
              <w:rPr/>
              <w:t>)</w:t>
            </w:r>
          </w:p>
        </w:tc>
      </w:tr>
      <w:tr>
        <w:trPr/>
        <w:tc>
          <w:tcPr>
            <w:tcW w:w="3351" w:type="dxa"/>
            <w:tcBorders/>
            <w:shd w:fill="FFFFFF" w:val="clear"/>
            <w:vAlign w:val="center"/>
          </w:tcPr>
          <w:p>
            <w:pPr>
              <w:pStyle w:val="TableContents"/>
              <w:bidi w:val="0"/>
              <w:spacing w:before="0" w:after="283"/>
              <w:jc w:val="left"/>
              <w:rPr>
                <w:sz w:val="20"/>
              </w:rPr>
            </w:pPr>
            <w:r>
              <w:rPr>
                <w:sz w:val="20"/>
              </w:rPr>
              <w:t>Tax return of capital distributions</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70" w:type="dxa"/>
            <w:tcBorders/>
            <w:shd w:fill="FFFFFF" w:val="clear"/>
            <w:vAlign w:val="center"/>
          </w:tcPr>
          <w:p>
            <w:pPr>
              <w:pStyle w:val="TableContents"/>
              <w:bidi w:val="0"/>
              <w:spacing w:before="0" w:after="283"/>
              <w:ind w:left="0" w:right="0" w:hanging="200"/>
              <w:jc w:val="left"/>
              <w:rPr/>
            </w:pPr>
            <w:r>
              <w:rPr/>
              <w:t> </w:t>
            </w:r>
          </w:p>
        </w:tc>
      </w:tr>
      <w:tr>
        <w:trPr/>
        <w:tc>
          <w:tcPr>
            <w:tcW w:w="3351" w:type="dxa"/>
            <w:tcBorders/>
            <w:shd w:fill="CCEEFF" w:val="clear"/>
            <w:vAlign w:val="center"/>
          </w:tcPr>
          <w:p>
            <w:pPr>
              <w:pStyle w:val="TableContents"/>
              <w:bidi w:val="0"/>
              <w:spacing w:before="0" w:after="283"/>
              <w:jc w:val="left"/>
              <w:rPr/>
            </w:pPr>
            <w:r>
              <w:rPr/>
              <w:t>Total distributions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(0.11</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(0.11</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(0.21</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(0.21</w:t>
            </w:r>
          </w:p>
        </w:tc>
        <w:tc>
          <w:tcPr>
            <w:tcW w:w="270" w:type="dxa"/>
            <w:tcBorders/>
            <w:shd w:fill="CCEEFF" w:val="clear"/>
            <w:vAlign w:val="center"/>
          </w:tcPr>
          <w:p>
            <w:pPr>
              <w:pStyle w:val="TableContents"/>
              <w:bidi w:val="0"/>
              <w:spacing w:before="0" w:after="283"/>
              <w:ind w:left="0" w:right="0" w:hanging="200"/>
              <w:jc w:val="left"/>
              <w:rPr/>
            </w:pPr>
            <w:r>
              <w:rPr/>
              <w:t>)</w:t>
            </w:r>
          </w:p>
        </w:tc>
      </w:tr>
      <w:tr>
        <w:trPr/>
        <w:tc>
          <w:tcPr>
            <w:tcW w:w="3351" w:type="dxa"/>
            <w:tcBorders/>
            <w:shd w:fill="FFFFFF" w:val="clear"/>
            <w:vAlign w:val="center"/>
          </w:tcPr>
          <w:p>
            <w:pPr>
              <w:pStyle w:val="TableContents"/>
              <w:bidi w:val="0"/>
              <w:spacing w:before="0" w:after="283"/>
              <w:jc w:val="left"/>
              <w:rPr/>
            </w:pPr>
            <w:r>
              <w:rPr/>
              <w:t>Effect of shares issued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FFFFFF" w:val="clear"/>
            <w:tcMar>
              <w:bottom w:w="28" w:type="dxa"/>
            </w:tcMar>
            <w:vAlign w:val="center"/>
          </w:tcPr>
          <w:p>
            <w:pPr>
              <w:pStyle w:val="TableContents"/>
              <w:bidi w:val="0"/>
              <w:spacing w:before="0" w:after="283"/>
              <w:jc w:val="right"/>
              <w:rPr/>
            </w:pPr>
            <w:r>
              <w:rPr/>
              <w:t>0.02</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0.02</w:t>
            </w:r>
          </w:p>
        </w:tc>
        <w:tc>
          <w:tcPr>
            <w:tcW w:w="270" w:type="dxa"/>
            <w:tcBorders/>
            <w:shd w:fill="FFFFFF" w:val="clear"/>
            <w:vAlign w:val="center"/>
          </w:tcPr>
          <w:p>
            <w:pPr>
              <w:pStyle w:val="TableContents"/>
              <w:bidi w:val="0"/>
              <w:spacing w:before="0" w:after="283"/>
              <w:ind w:left="0" w:right="0" w:hanging="200"/>
              <w:jc w:val="left"/>
              <w:rPr/>
            </w:pPr>
            <w:r>
              <w:rPr/>
              <w:t> </w:t>
            </w:r>
          </w:p>
        </w:tc>
      </w:tr>
      <w:tr>
        <w:trPr/>
        <w:tc>
          <w:tcPr>
            <w:tcW w:w="3351" w:type="dxa"/>
            <w:tcBorders/>
            <w:shd w:fill="CCEEFF" w:val="clear"/>
            <w:vAlign w:val="center"/>
          </w:tcPr>
          <w:p>
            <w:pPr>
              <w:pStyle w:val="TableContents"/>
              <w:bidi w:val="0"/>
              <w:spacing w:before="0" w:after="283"/>
              <w:jc w:val="left"/>
              <w:rPr/>
            </w:pPr>
            <w:r>
              <w:rPr/>
              <w:t>Net asset value at end of period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7" w:type="dxa"/>
            <w:tcBorders>
              <w:bottom w:val="double" w:sz="6" w:space="0" w:color="000000"/>
            </w:tcBorders>
            <w:shd w:fill="CCEEFF" w:val="clear"/>
            <w:tcMar>
              <w:bottom w:w="28" w:type="dxa"/>
            </w:tcMar>
            <w:vAlign w:val="center"/>
          </w:tcPr>
          <w:p>
            <w:pPr>
              <w:pStyle w:val="TableContents"/>
              <w:bidi w:val="0"/>
              <w:spacing w:before="0" w:after="283"/>
              <w:jc w:val="right"/>
              <w:rPr/>
            </w:pPr>
            <w:r>
              <w:rPr/>
              <w:t>1.29</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2" w:type="dxa"/>
            <w:tcBorders>
              <w:bottom w:val="double" w:sz="6" w:space="0" w:color="000000"/>
            </w:tcBorders>
            <w:shd w:fill="CCEEFF" w:val="clear"/>
            <w:tcMar>
              <w:bottom w:w="28" w:type="dxa"/>
            </w:tcMar>
            <w:vAlign w:val="center"/>
          </w:tcPr>
          <w:p>
            <w:pPr>
              <w:pStyle w:val="TableContents"/>
              <w:bidi w:val="0"/>
              <w:spacing w:before="0" w:after="283"/>
              <w:jc w:val="right"/>
              <w:rPr/>
            </w:pPr>
            <w:r>
              <w:rPr/>
              <w:t>2.06</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1.29</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2.06</w:t>
            </w:r>
          </w:p>
        </w:tc>
        <w:tc>
          <w:tcPr>
            <w:tcW w:w="270" w:type="dxa"/>
            <w:tcBorders/>
            <w:shd w:fill="CCEEFF" w:val="clear"/>
            <w:vAlign w:val="center"/>
          </w:tcPr>
          <w:p>
            <w:pPr>
              <w:pStyle w:val="TableContents"/>
              <w:bidi w:val="0"/>
              <w:spacing w:before="0" w:after="283"/>
              <w:ind w:left="0" w:right="0" w:hanging="200"/>
              <w:jc w:val="left"/>
              <w:rPr/>
            </w:pPr>
            <w:r>
              <w:rPr/>
              <w:t> </w:t>
            </w:r>
          </w:p>
        </w:tc>
      </w:tr>
      <w:tr>
        <w:trPr/>
        <w:tc>
          <w:tcPr>
            <w:tcW w:w="3351" w:type="dxa"/>
            <w:tcBorders/>
            <w:shd w:fill="FFFFFF" w:val="clear"/>
            <w:vAlign w:val="center"/>
          </w:tcPr>
          <w:p>
            <w:pPr>
              <w:pStyle w:val="TableContents"/>
              <w:bidi w:val="0"/>
              <w:spacing w:before="0" w:after="283"/>
              <w:jc w:val="left"/>
              <w:rPr/>
            </w:pPr>
            <w:r>
              <w:rPr/>
              <w:t>Per share market value at beginning of period</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347" w:type="dxa"/>
            <w:tcBorders/>
            <w:shd w:fill="FFFFFF" w:val="clear"/>
            <w:vAlign w:val="center"/>
          </w:tcPr>
          <w:p>
            <w:pPr>
              <w:pStyle w:val="TableContents"/>
              <w:bidi w:val="0"/>
              <w:spacing w:before="0" w:after="283"/>
              <w:jc w:val="right"/>
              <w:rPr/>
            </w:pPr>
            <w:r>
              <w:rPr/>
              <w:t>1.77</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332" w:type="dxa"/>
            <w:tcBorders/>
            <w:shd w:fill="FFFFFF" w:val="clear"/>
            <w:vAlign w:val="center"/>
          </w:tcPr>
          <w:p>
            <w:pPr>
              <w:pStyle w:val="TableContents"/>
              <w:bidi w:val="0"/>
              <w:spacing w:before="0" w:after="283"/>
              <w:jc w:val="right"/>
              <w:rPr/>
            </w:pPr>
            <w:r>
              <w:rPr/>
              <w:t>2.61</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1.76</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2.44</w:t>
            </w:r>
          </w:p>
        </w:tc>
        <w:tc>
          <w:tcPr>
            <w:tcW w:w="270" w:type="dxa"/>
            <w:tcBorders/>
            <w:shd w:fill="FFFFFF" w:val="clear"/>
            <w:vAlign w:val="center"/>
          </w:tcPr>
          <w:p>
            <w:pPr>
              <w:pStyle w:val="TableContents"/>
              <w:bidi w:val="0"/>
              <w:spacing w:before="0" w:after="283"/>
              <w:ind w:left="0" w:right="0" w:hanging="200"/>
              <w:jc w:val="left"/>
              <w:rPr/>
            </w:pPr>
            <w:r>
              <w:rPr/>
              <w:t> </w:t>
            </w:r>
          </w:p>
        </w:tc>
      </w:tr>
      <w:tr>
        <w:trPr/>
        <w:tc>
          <w:tcPr>
            <w:tcW w:w="3351" w:type="dxa"/>
            <w:tcBorders/>
            <w:shd w:fill="CCEEFF" w:val="clear"/>
            <w:vAlign w:val="center"/>
          </w:tcPr>
          <w:p>
            <w:pPr>
              <w:pStyle w:val="TableContents"/>
              <w:bidi w:val="0"/>
              <w:spacing w:before="0" w:after="283"/>
              <w:jc w:val="left"/>
              <w:rPr/>
            </w:pPr>
            <w:r>
              <w:rPr/>
              <w:t>Per share market value at end of period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1.32</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32" w:type="dxa"/>
            <w:tcBorders/>
            <w:shd w:fill="CCEEFF" w:val="clear"/>
            <w:vAlign w:val="center"/>
          </w:tcPr>
          <w:p>
            <w:pPr>
              <w:pStyle w:val="TableContents"/>
              <w:bidi w:val="0"/>
              <w:spacing w:before="0" w:after="283"/>
              <w:jc w:val="right"/>
              <w:rPr/>
            </w:pPr>
            <w:r>
              <w:rPr/>
              <w:t>2.23</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1.32</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2.23</w:t>
            </w:r>
          </w:p>
        </w:tc>
        <w:tc>
          <w:tcPr>
            <w:tcW w:w="270" w:type="dxa"/>
            <w:tcBorders/>
            <w:shd w:fill="CCEEFF" w:val="clear"/>
            <w:vAlign w:val="center"/>
          </w:tcPr>
          <w:p>
            <w:pPr>
              <w:pStyle w:val="TableContents"/>
              <w:bidi w:val="0"/>
              <w:spacing w:before="0" w:after="283"/>
              <w:ind w:left="0" w:right="0" w:hanging="200"/>
              <w:jc w:val="left"/>
              <w:rPr/>
            </w:pPr>
            <w:r>
              <w:rPr/>
              <w:t> </w:t>
            </w:r>
          </w:p>
        </w:tc>
      </w:tr>
      <w:tr>
        <w:trPr/>
        <w:tc>
          <w:tcPr>
            <w:tcW w:w="3351" w:type="dxa"/>
            <w:tcBorders/>
            <w:shd w:fill="FFFFFF" w:val="clear"/>
            <w:vAlign w:val="center"/>
          </w:tcPr>
          <w:p>
            <w:pPr>
              <w:pStyle w:val="TableContents"/>
              <w:bidi w:val="0"/>
              <w:spacing w:before="0" w:after="283"/>
              <w:jc w:val="left"/>
              <w:rPr>
                <w:sz w:val="20"/>
              </w:rPr>
            </w:pPr>
            <w:r>
              <w:rPr>
                <w:sz w:val="20"/>
              </w:rPr>
              <w:t>Total return based on Market Value</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(19.75</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(10.49</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(14.23</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(0.30</w:t>
            </w:r>
          </w:p>
        </w:tc>
        <w:tc>
          <w:tcPr>
            <w:tcW w:w="270" w:type="dxa"/>
            <w:tcBorders/>
            <w:shd w:fill="FFFFFF" w:val="clear"/>
            <w:vAlign w:val="center"/>
          </w:tcPr>
          <w:p>
            <w:pPr>
              <w:pStyle w:val="TableContents"/>
              <w:bidi w:val="0"/>
              <w:spacing w:before="0" w:after="283"/>
              <w:ind w:left="0" w:right="0" w:hanging="200"/>
              <w:jc w:val="left"/>
              <w:rPr/>
            </w:pPr>
            <w:r>
              <w:rPr/>
              <w:t>)%</w:t>
            </w:r>
          </w:p>
        </w:tc>
      </w:tr>
      <w:tr>
        <w:trPr/>
        <w:tc>
          <w:tcPr>
            <w:tcW w:w="3351" w:type="dxa"/>
            <w:tcBorders/>
            <w:shd w:fill="CCEEFF" w:val="clear"/>
            <w:vAlign w:val="center"/>
          </w:tcPr>
          <w:p>
            <w:pPr>
              <w:pStyle w:val="TableContents"/>
              <w:bidi w:val="0"/>
              <w:spacing w:before="0" w:after="283"/>
              <w:jc w:val="left"/>
              <w:rPr>
                <w:sz w:val="20"/>
              </w:rPr>
            </w:pPr>
            <w:r>
              <w:rPr>
                <w:sz w:val="20"/>
              </w:rPr>
              <w:t>Total return based on Net Asset Value</w:t>
            </w:r>
            <w:r>
              <w:rPr>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5.68</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3.59</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(11.24</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w:t>
            </w:r>
          </w:p>
        </w:tc>
        <w:tc>
          <w:tcPr>
            <w:tcW w:w="270" w:type="dxa"/>
            <w:tcBorders/>
            <w:shd w:fill="CCEEFF" w:val="clear"/>
            <w:vAlign w:val="center"/>
          </w:tcPr>
          <w:p>
            <w:pPr>
              <w:pStyle w:val="TableContents"/>
              <w:bidi w:val="0"/>
              <w:spacing w:before="0" w:after="283"/>
              <w:ind w:left="0" w:right="0" w:hanging="200"/>
              <w:jc w:val="left"/>
              <w:rPr/>
            </w:pPr>
            <w:r>
              <w:rPr/>
              <w:t>)%</w:t>
            </w:r>
          </w:p>
        </w:tc>
      </w:tr>
      <w:tr>
        <w:trPr/>
        <w:tc>
          <w:tcPr>
            <w:tcW w:w="3351" w:type="dxa"/>
            <w:tcBorders/>
            <w:shd w:fill="FFFFFF" w:val="clear"/>
            <w:vAlign w:val="center"/>
          </w:tcPr>
          <w:p>
            <w:pPr>
              <w:pStyle w:val="TableContents"/>
              <w:bidi w:val="0"/>
              <w:spacing w:before="0" w:after="283"/>
              <w:jc w:val="left"/>
              <w:rPr/>
            </w:pPr>
            <w:r>
              <w:rPr/>
              <w:t>Shares outstanding at end of period</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105,058,242</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76,236,738</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105,058,242</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76,236,738</w:t>
            </w:r>
          </w:p>
        </w:tc>
        <w:tc>
          <w:tcPr>
            <w:tcW w:w="270" w:type="dxa"/>
            <w:tcBorders/>
            <w:shd w:fill="FFFFFF" w:val="clear"/>
            <w:vAlign w:val="center"/>
          </w:tcPr>
          <w:p>
            <w:pPr>
              <w:pStyle w:val="TableContents"/>
              <w:bidi w:val="0"/>
              <w:spacing w:before="0" w:after="283"/>
              <w:jc w:val="left"/>
              <w:rPr/>
            </w:pPr>
            <w:r>
              <w:rPr/>
              <w:t> </w:t>
            </w:r>
          </w:p>
        </w:tc>
      </w:tr>
      <w:tr>
        <w:trPr/>
        <w:tc>
          <w:tcPr>
            <w:tcW w:w="33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ind w:left="0" w:right="0" w:hanging="200"/>
              <w:jc w:val="left"/>
              <w:rPr/>
            </w:pPr>
            <w:r>
              <w:rPr/>
              <w:t> </w:t>
            </w:r>
          </w:p>
        </w:tc>
      </w:tr>
      <w:tr>
        <w:trPr/>
        <w:tc>
          <w:tcPr>
            <w:tcW w:w="3351" w:type="dxa"/>
            <w:tcBorders/>
            <w:shd w:fill="FFFFFF" w:val="clear"/>
            <w:vAlign w:val="center"/>
          </w:tcPr>
          <w:p>
            <w:pPr>
              <w:pStyle w:val="TableContents"/>
              <w:bidi w:val="0"/>
              <w:spacing w:before="0" w:after="283"/>
              <w:jc w:val="left"/>
              <w:rPr>
                <w:b/>
                <w:u w:val="single"/>
              </w:rPr>
            </w:pPr>
            <w:r>
              <w:rPr>
                <w:b/>
                <w:u w:val="single"/>
              </w:rPr>
              <w:t>Ratios/Supplemental Data</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ind w:left="0" w:right="0" w:hanging="200"/>
              <w:jc w:val="left"/>
              <w:rPr/>
            </w:pPr>
            <w:r>
              <w:rPr/>
              <w:t> </w:t>
            </w:r>
          </w:p>
        </w:tc>
      </w:tr>
      <w:tr>
        <w:trPr/>
        <w:tc>
          <w:tcPr>
            <w:tcW w:w="3351" w:type="dxa"/>
            <w:tcBorders/>
            <w:shd w:fill="CCEEFF" w:val="clear"/>
            <w:vAlign w:val="center"/>
          </w:tcPr>
          <w:p>
            <w:pPr>
              <w:pStyle w:val="TableContents"/>
              <w:bidi w:val="0"/>
              <w:spacing w:before="0" w:after="283"/>
              <w:jc w:val="left"/>
              <w:rPr/>
            </w:pPr>
            <w:r>
              <w:rPr/>
              <w:t>Net assets at end of period (000’s)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135,028</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32" w:type="dxa"/>
            <w:tcBorders/>
            <w:shd w:fill="CCEEFF" w:val="clear"/>
            <w:vAlign w:val="center"/>
          </w:tcPr>
          <w:p>
            <w:pPr>
              <w:pStyle w:val="TableContents"/>
              <w:bidi w:val="0"/>
              <w:spacing w:before="0" w:after="283"/>
              <w:jc w:val="right"/>
              <w:rPr/>
            </w:pPr>
            <w:r>
              <w:rPr/>
              <w:t>157,423</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135,028</w:t>
            </w:r>
          </w:p>
        </w:tc>
        <w:tc>
          <w:tcPr>
            <w:tcW w:w="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157,423</w:t>
            </w:r>
          </w:p>
        </w:tc>
        <w:tc>
          <w:tcPr>
            <w:tcW w:w="270" w:type="dxa"/>
            <w:tcBorders/>
            <w:shd w:fill="CCEEFF" w:val="clear"/>
            <w:vAlign w:val="center"/>
          </w:tcPr>
          <w:p>
            <w:pPr>
              <w:pStyle w:val="TableContents"/>
              <w:bidi w:val="0"/>
              <w:spacing w:before="0" w:after="283"/>
              <w:ind w:left="0" w:right="0" w:hanging="200"/>
              <w:jc w:val="left"/>
              <w:rPr/>
            </w:pPr>
            <w:r>
              <w:rPr/>
              <w:t> </w:t>
            </w:r>
          </w:p>
        </w:tc>
      </w:tr>
      <w:tr>
        <w:trPr/>
        <w:tc>
          <w:tcPr>
            <w:tcW w:w="3351" w:type="dxa"/>
            <w:tcBorders/>
            <w:shd w:fill="FFFFFF" w:val="clear"/>
            <w:vAlign w:val="center"/>
          </w:tcPr>
          <w:p>
            <w:pPr>
              <w:pStyle w:val="TableContents"/>
              <w:bidi w:val="0"/>
              <w:spacing w:before="0" w:after="283"/>
              <w:jc w:val="left"/>
              <w:rPr/>
            </w:pPr>
            <w:r>
              <w:rPr/>
              <w:t>Average net assets (000’s)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347" w:type="dxa"/>
            <w:tcBorders/>
            <w:shd w:fill="FFFFFF" w:val="clear"/>
            <w:vAlign w:val="center"/>
          </w:tcPr>
          <w:p>
            <w:pPr>
              <w:pStyle w:val="TableContents"/>
              <w:bidi w:val="0"/>
              <w:spacing w:before="0" w:after="283"/>
              <w:jc w:val="right"/>
              <w:rPr/>
            </w:pPr>
            <w:r>
              <w:rPr/>
              <w:t>129,465</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332" w:type="dxa"/>
            <w:tcBorders/>
            <w:shd w:fill="FFFFFF" w:val="clear"/>
            <w:vAlign w:val="center"/>
          </w:tcPr>
          <w:p>
            <w:pPr>
              <w:pStyle w:val="TableContents"/>
              <w:bidi w:val="0"/>
              <w:spacing w:before="0" w:after="283"/>
              <w:jc w:val="right"/>
              <w:rPr/>
            </w:pPr>
            <w:r>
              <w:rPr/>
              <w:t>152,126</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130,642</w:t>
            </w:r>
          </w:p>
        </w:tc>
        <w:tc>
          <w:tcPr>
            <w:tcW w:w="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152,806</w:t>
            </w:r>
          </w:p>
        </w:tc>
        <w:tc>
          <w:tcPr>
            <w:tcW w:w="270" w:type="dxa"/>
            <w:tcBorders/>
            <w:shd w:fill="FFFFFF" w:val="clear"/>
            <w:vAlign w:val="center"/>
          </w:tcPr>
          <w:p>
            <w:pPr>
              <w:pStyle w:val="TableContents"/>
              <w:bidi w:val="0"/>
              <w:spacing w:before="0" w:after="283"/>
              <w:ind w:left="0" w:right="0" w:hanging="200"/>
              <w:jc w:val="left"/>
              <w:rPr/>
            </w:pPr>
            <w:r>
              <w:rPr/>
              <w:t> </w:t>
            </w:r>
          </w:p>
        </w:tc>
      </w:tr>
      <w:tr>
        <w:trPr/>
        <w:tc>
          <w:tcPr>
            <w:tcW w:w="3351" w:type="dxa"/>
            <w:tcBorders/>
            <w:shd w:fill="CCEEFF" w:val="clear"/>
            <w:vAlign w:val="center"/>
          </w:tcPr>
          <w:p>
            <w:pPr>
              <w:pStyle w:val="TableContents"/>
              <w:bidi w:val="0"/>
              <w:spacing w:before="0" w:after="283"/>
              <w:jc w:val="left"/>
              <w:rPr>
                <w:sz w:val="20"/>
              </w:rPr>
            </w:pPr>
            <w:r>
              <w:rPr>
                <w:sz w:val="20"/>
              </w:rPr>
              <w:t>Ratio of expenses to average net assets</w:t>
            </w:r>
            <w:r>
              <w:rPr>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14.39</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10.78</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14.19</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10.62</w:t>
            </w:r>
          </w:p>
        </w:tc>
        <w:tc>
          <w:tcPr>
            <w:tcW w:w="270" w:type="dxa"/>
            <w:tcBorders/>
            <w:shd w:fill="CCEEFF" w:val="clear"/>
            <w:vAlign w:val="center"/>
          </w:tcPr>
          <w:p>
            <w:pPr>
              <w:pStyle w:val="TableContents"/>
              <w:bidi w:val="0"/>
              <w:spacing w:before="0" w:after="283"/>
              <w:ind w:left="0" w:right="0" w:hanging="200"/>
              <w:jc w:val="left"/>
              <w:rPr/>
            </w:pPr>
            <w:r>
              <w:rPr/>
              <w:t>%</w:t>
            </w:r>
          </w:p>
        </w:tc>
      </w:tr>
      <w:tr>
        <w:trPr/>
        <w:tc>
          <w:tcPr>
            <w:tcW w:w="3351" w:type="dxa"/>
            <w:tcBorders/>
            <w:shd w:fill="FFFFFF" w:val="clear"/>
            <w:vAlign w:val="center"/>
          </w:tcPr>
          <w:p>
            <w:pPr>
              <w:pStyle w:val="TableContents"/>
              <w:bidi w:val="0"/>
              <w:spacing w:before="0" w:after="283"/>
              <w:jc w:val="left"/>
              <w:rPr>
                <w:sz w:val="20"/>
              </w:rPr>
            </w:pPr>
            <w:r>
              <w:rPr>
                <w:sz w:val="20"/>
              </w:rPr>
              <w:t>Ratio of expenses, excluding interest expense, to average net assets</w:t>
            </w:r>
            <w:r>
              <w:rPr>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5.76</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5.70</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5.64</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5.53</w:t>
            </w:r>
          </w:p>
        </w:tc>
        <w:tc>
          <w:tcPr>
            <w:tcW w:w="270" w:type="dxa"/>
            <w:tcBorders/>
            <w:shd w:fill="FFFFFF" w:val="clear"/>
            <w:vAlign w:val="center"/>
          </w:tcPr>
          <w:p>
            <w:pPr>
              <w:pStyle w:val="TableContents"/>
              <w:bidi w:val="0"/>
              <w:spacing w:before="0" w:after="283"/>
              <w:ind w:left="0" w:right="0" w:hanging="200"/>
              <w:jc w:val="left"/>
              <w:rPr/>
            </w:pPr>
            <w:r>
              <w:rPr/>
              <w:t>%</w:t>
            </w:r>
          </w:p>
        </w:tc>
      </w:tr>
      <w:tr>
        <w:trPr/>
        <w:tc>
          <w:tcPr>
            <w:tcW w:w="3351" w:type="dxa"/>
            <w:tcBorders/>
            <w:shd w:fill="CCEEFF" w:val="clear"/>
            <w:vAlign w:val="center"/>
          </w:tcPr>
          <w:p>
            <w:pPr>
              <w:pStyle w:val="TableContents"/>
              <w:bidi w:val="0"/>
              <w:spacing w:before="0" w:after="283"/>
              <w:jc w:val="left"/>
              <w:rPr>
                <w:sz w:val="20"/>
              </w:rPr>
            </w:pPr>
            <w:r>
              <w:rPr>
                <w:sz w:val="20"/>
              </w:rPr>
              <w:t>Ratio of net investment income to average net assets</w:t>
            </w:r>
            <w:r>
              <w:rPr>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14.66</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14.26</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13.90</w:t>
            </w:r>
          </w:p>
        </w:tc>
        <w:tc>
          <w:tcPr>
            <w:tcW w:w="24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w:t>
            </w:r>
          </w:p>
        </w:tc>
        <w:tc>
          <w:tcPr>
            <w:tcW w:w="270" w:type="dxa"/>
            <w:tcBorders/>
            <w:shd w:fill="CCEEFF" w:val="clear"/>
            <w:vAlign w:val="center"/>
          </w:tcPr>
          <w:p>
            <w:pPr>
              <w:pStyle w:val="TableContents"/>
              <w:bidi w:val="0"/>
              <w:spacing w:before="0" w:after="283"/>
              <w:ind w:left="0" w:right="0" w:hanging="200"/>
              <w:jc w:val="left"/>
              <w:rPr/>
            </w:pPr>
            <w:r>
              <w:rPr/>
              <w:t>%</w:t>
            </w:r>
          </w:p>
        </w:tc>
      </w:tr>
      <w:tr>
        <w:trPr/>
        <w:tc>
          <w:tcPr>
            <w:tcW w:w="3351" w:type="dxa"/>
            <w:tcBorders/>
            <w:shd w:fill="FFFFFF" w:val="clear"/>
            <w:vAlign w:val="center"/>
          </w:tcPr>
          <w:p>
            <w:pPr>
              <w:pStyle w:val="TableContents"/>
              <w:bidi w:val="0"/>
              <w:spacing w:before="0" w:after="283"/>
              <w:jc w:val="left"/>
              <w:rPr>
                <w:sz w:val="20"/>
              </w:rPr>
            </w:pPr>
            <w:r>
              <w:rPr>
                <w:sz w:val="20"/>
              </w:rPr>
              <w:t>Portfolio turnover rate</w:t>
            </w:r>
            <w:r>
              <w:rPr>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0.19</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0.35</w:t>
            </w:r>
          </w:p>
        </w:tc>
        <w:tc>
          <w:tcPr>
            <w:tcW w:w="24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6.40</w:t>
            </w:r>
          </w:p>
        </w:tc>
        <w:tc>
          <w:tcPr>
            <w:tcW w:w="2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81" w:type="dxa"/>
            <w:tcBorders/>
            <w:vAlign w:val="center"/>
          </w:tcPr>
          <w:p>
            <w:pPr>
              <w:pStyle w:val="TableContents"/>
              <w:bidi w:val="0"/>
              <w:spacing w:before="0" w:after="283"/>
              <w:jc w:val="left"/>
              <w:rPr/>
            </w:pPr>
            <w:r>
              <w:rPr/>
              <w:t>Represents per share net investment income for the period, based upon weighted average shares outstanding.</w:t>
            </w:r>
          </w:p>
        </w:tc>
      </w:tr>
    </w:tbl>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88" w:type="dxa"/>
            <w:tcBorders/>
            <w:vAlign w:val="center"/>
          </w:tcPr>
          <w:p>
            <w:pPr>
              <w:pStyle w:val="TableContents"/>
              <w:bidi w:val="0"/>
              <w:spacing w:before="0" w:after="283"/>
              <w:jc w:val="left"/>
              <w:rPr/>
            </w:pPr>
            <w:r>
              <w:rPr/>
              <w:t>Net realized and unrealized gains/(losses) include rounding adjustments to reconcile change in net asset value per share.</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45" w:type="dxa"/>
            <w:tcBorders/>
            <w:vAlign w:val="center"/>
          </w:tcPr>
          <w:p>
            <w:pPr>
              <w:pStyle w:val="TableContents"/>
              <w:bidi w:val="0"/>
              <w:spacing w:before="0" w:after="283"/>
              <w:jc w:val="left"/>
              <w:rPr/>
            </w:pPr>
            <w:r>
              <w:rPr/>
              <w:t>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 The amounts and sources of distributions reported are only estimates (based on an average of the reported tax character historically) and are not being provided for U.S. tax reporting purposes. For each of the three-month periods ended June 30, 2026 and 2025, distributions were $0.105 per share and are presented as $0.11 per share due to rounding.</w:t>
            </w:r>
          </w:p>
        </w:tc>
      </w:tr>
    </w:tbl>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29" w:type="dxa"/>
            <w:tcBorders/>
            <w:vAlign w:val="center"/>
          </w:tcPr>
          <w:p>
            <w:pPr>
              <w:pStyle w:val="TableContents"/>
              <w:bidi w:val="0"/>
              <w:spacing w:before="0" w:after="283"/>
              <w:jc w:val="left"/>
              <w:rPr/>
            </w:pPr>
            <w:r>
              <w:rPr/>
              <w:t>Total return based on market value equals the increase or decrease of ending market value over beginning market value, plus distributions, divided by the beginning market value, assuming distribution reinvestment prices obtained under the Company’s distribution reinvestment plan. Total return is not annualized.</w:t>
            </w:r>
          </w:p>
        </w:tc>
      </w:tr>
    </w:tbl>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18" w:type="dxa"/>
            <w:tcBorders/>
            <w:vAlign w:val="center"/>
          </w:tcPr>
          <w:p>
            <w:pPr>
              <w:pStyle w:val="TableContents"/>
              <w:bidi w:val="0"/>
              <w:spacing w:before="0" w:after="283"/>
              <w:jc w:val="left"/>
              <w:rPr/>
            </w:pPr>
            <w:r>
              <w:rPr/>
              <w:t>Total return based on net asset value equals the increase or decrease of ending net asset value over beginning net asset value, plus distributions, divided by the beginning net asset value. Total return is not annualized.</w:t>
            </w:r>
          </w:p>
        </w:tc>
      </w:tr>
    </w:tbl>
    <w:tbl>
      <w:tblPr>
        <w:tblW w:w="7878" w:type="dxa"/>
        <w:jc w:val="left"/>
        <w:tblInd w:w="0" w:type="dxa"/>
        <w:tblLayout w:type="fixed"/>
        <w:tblCellMar>
          <w:top w:w="0" w:type="dxa"/>
          <w:left w:w="0" w:type="dxa"/>
          <w:bottom w:w="0" w:type="dxa"/>
          <w:right w:w="0" w:type="dxa"/>
        </w:tblCellMar>
      </w:tblPr>
      <w:tblGrid>
        <w:gridCol w:w="38"/>
        <w:gridCol w:w="29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7550" w:type="dxa"/>
            <w:tcBorders/>
            <w:vAlign w:val="center"/>
          </w:tcPr>
          <w:p>
            <w:pPr>
              <w:pStyle w:val="TableContents"/>
              <w:bidi w:val="0"/>
              <w:spacing w:before="0" w:after="283"/>
              <w:jc w:val="left"/>
              <w:rPr/>
            </w:pPr>
            <w:r>
              <w:rPr/>
              <w:t>Annualized and adjusted for one-time excise tax reversals in the current quarter.</w:t>
            </w:r>
          </w:p>
        </w:tc>
      </w:tr>
    </w:tbl>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915" w:type="dxa"/>
            <w:tcBorders/>
            <w:vAlign w:val="center"/>
          </w:tcPr>
          <w:p>
            <w:pPr>
              <w:pStyle w:val="TableContents"/>
              <w:bidi w:val="0"/>
              <w:spacing w:before="0" w:after="283"/>
              <w:jc w:val="left"/>
              <w:rPr/>
            </w:pPr>
            <w:r>
              <w:rPr/>
              <w:t>Portfolio turnover rate is calculated using the lesser of the year-to-date investment sales and debt repayments or year-to-date investment purchases over the average of the total investments at fair value.</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Oxford Square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Square Capital Corp. is a publicly-traded business development company principally investing in syndicated bank loans and, to a lesser extent, debt and equity tranches of collateralized loan obligation (“CLO”) vehicles. CLO investments may also include warehouse facilities, which are financing structures intended to aggregate loans that may be used to form the basis of a CLO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subject to the inherent uncertainties in predicting future results and conditions. Any statements that are not statements of historical fact (including statements containing the words “believes,” “plans,” “anticipates,” “expects,” “estimates” and similar expressions) should also be considered to be forward-looking statements. These statements are not guarantees of future performance, conditions or results and involve a number of risks and uncertainties. Certain factors could cause actual results and conditions to differ materially from those projected in these forward-looking statements. These factors are identified from time to time in our filings with the Securities and Exchange Commission. We undertake no obligation to update such statements to reflect subsequent events,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Rubin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203-983-5280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2725</Words>
  <Characters>15166</Characters>
  <CharactersWithSpaces>18228</CharactersWithSpaces>
  <Paragraphs>1483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