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386-01_8k.htm"/>
      <w:bookmarkStart w:id="1" w:name="ksea03053860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B_edei--DocumentType_c20260914__20"/>
      <w:bookmarkEnd w:id="2"/>
      <w:r>
        <w:rPr>
          <w:rFonts w:ascii="Times New Roman;Times;Serif" w:hAnsi="Times New Roman;Times;Serif"/>
          <w:b/>
          <w:i w:val="false"/>
          <w:caps w:val="false"/>
          <w:smallCaps w:val="false"/>
          <w:sz w:val="24"/>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 xml:space="preserve">September 14, 2026 </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6_edei--EntityRegistrantName_c2026"/>
      <w:bookmarkEnd w:id="4"/>
      <w:r>
        <w:rPr>
          <w:rFonts w:ascii="Times New Roman;Times;Serif" w:hAnsi="Times New Roman;Times;Serif"/>
          <w:b/>
          <w:i w:val="false"/>
          <w:caps w:val="false"/>
          <w:smallCaps w:val="false"/>
          <w:sz w:val="24"/>
        </w:rPr>
        <w:t>Oxford Square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270"/>
        <w:gridCol w:w="60"/>
        <w:gridCol w:w="2300"/>
        <w:gridCol w:w="60"/>
        <w:gridCol w:w="1565"/>
      </w:tblGrid>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ind w:left="0" w:right="0" w:hanging="0"/>
              <w:jc w:val="center"/>
              <w:rPr/>
            </w:pPr>
            <w:r>
              <w:rPr/>
              <w:t> </w:t>
            </w:r>
          </w:p>
        </w:tc>
        <w:tc>
          <w:tcPr>
            <w:tcW w:w="230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6" w:name="xdx_906_edei--EntityFileNumber_c20260914"/>
            <w:bookmarkEnd w:id="6"/>
            <w:r>
              <w:rPr>
                <w:rFonts w:ascii="Times New Roman;Times;Serif" w:hAnsi="Times New Roman;Times;Serif"/>
                <w:b/>
                <w:i w:val="false"/>
                <w:caps w:val="false"/>
                <w:smallCaps w:val="false"/>
                <w:sz w:val="20"/>
              </w:rPr>
              <w:t>814-00638</w:t>
            </w:r>
          </w:p>
        </w:tc>
        <w:tc>
          <w:tcPr>
            <w:tcW w:w="60" w:type="dxa"/>
            <w:tcBorders/>
            <w:vAlign w:val="center"/>
          </w:tcPr>
          <w:p>
            <w:pPr>
              <w:pStyle w:val="TableContents"/>
              <w:bidi w:val="0"/>
              <w:spacing w:before="0" w:after="283"/>
              <w:ind w:left="0" w:right="0" w:hanging="0"/>
              <w:jc w:val="center"/>
              <w:rPr/>
            </w:pPr>
            <w:r>
              <w:rPr/>
              <w:t> </w:t>
            </w:r>
          </w:p>
        </w:tc>
        <w:tc>
          <w:tcPr>
            <w:tcW w:w="156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20-0188736</w:t>
            </w:r>
          </w:p>
        </w:tc>
      </w:tr>
      <w:tr>
        <w:trPr/>
        <w:tc>
          <w:tcPr>
            <w:tcW w:w="2270" w:type="dxa"/>
            <w:tcBorders>
              <w:top w:val="single" w:sz="8" w:space="0" w:color="000000"/>
            </w:tcBorders>
            <w:tcMar>
              <w:top w:w="28"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300" w:type="dxa"/>
            <w:tcBorders>
              <w:top w:val="single" w:sz="8" w:space="0" w:color="000000"/>
            </w:tcBorders>
            <w:tcMar>
              <w:top w:w="28" w:type="dxa"/>
            </w:tcMar>
            <w:vAlign w:val="center"/>
          </w:tcPr>
          <w:p>
            <w:pPr>
              <w:pStyle w:val="TableContents"/>
              <w:bidi w:val="0"/>
              <w:spacing w:before="0" w:after="283"/>
              <w:jc w:val="center"/>
              <w:rPr>
                <w:b/>
                <w:sz w:val="20"/>
              </w:rPr>
            </w:pPr>
            <w:r>
              <w:rPr>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top w:val="single" w:sz="8" w:space="0" w:color="000000"/>
            </w:tcBorders>
            <w:tcMar>
              <w:top w:w="28"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283"/>
        <w:jc w:val="left"/>
        <w:rPr/>
      </w:pPr>
      <w:r>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8 Sound Shore Drive, </w:t>
            </w:r>
            <w:bookmarkStart w:id="9" w:name="xdx_90B_edei--EntityAddressAddressLine2_"/>
            <w:bookmarkEnd w:id="9"/>
            <w:r>
              <w:rPr>
                <w:rFonts w:ascii="Times New Roman;Times;Serif" w:hAnsi="Times New Roman;Times;Serif"/>
                <w:b/>
                <w:i w:val="false"/>
                <w:caps w:val="false"/>
                <w:smallCaps w:val="false"/>
                <w:sz w:val="20"/>
              </w:rPr>
              <w:t>Suite 255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Greenwich </w:t>
            </w:r>
            <w:bookmarkStart w:id="11" w:name="xdx_904_edei--EntityAddressStateOrProvin"/>
            <w:bookmarkEnd w:id="11"/>
            <w:r>
              <w:rPr>
                <w:rFonts w:ascii="Times New Roman;Times;Serif" w:hAnsi="Times New Roman;Times;Serif"/>
                <w:b/>
                <w:i w:val="false"/>
                <w:caps w:val="false"/>
                <w:smallCaps w:val="false"/>
                <w:sz w:val="20"/>
              </w:rPr>
              <w:t>CT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bookmarkStart w:id="12" w:name="xdx_90F_edei--EntityAddressPostalZipCode"/>
            <w:bookmarkEnd w:id="12"/>
            <w:r>
              <w:rPr>
                <w:b/>
                <w:sz w:val="20"/>
              </w:rPr>
              <w:t>06830</w:t>
            </w:r>
          </w:p>
        </w:tc>
      </w:tr>
      <w:tr>
        <w:trPr/>
        <w:tc>
          <w:tcPr>
            <w:tcW w:w="3290" w:type="dxa"/>
            <w:tcBorders>
              <w:top w:val="single" w:sz="8" w:space="0" w:color="000000"/>
            </w:tcBorders>
            <w:tcMar>
              <w:top w:w="28"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top w:val="single" w:sz="8" w:space="0" w:color="000000"/>
            </w:tcBorders>
            <w:tcMar>
              <w:top w:w="28"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914__20"/>
      <w:bookmarkEnd w:id="13"/>
      <w:r>
        <w:rPr>
          <w:rFonts w:ascii="Times New Roman;Times;Serif" w:hAnsi="Times New Roman;Times;Serif"/>
          <w:b/>
          <w:i w:val="false"/>
          <w:caps w:val="false"/>
          <w:smallCaps w:val="false"/>
          <w:sz w:val="20"/>
        </w:rPr>
        <w:t xml:space="preserve">203) </w:t>
      </w:r>
      <w:bookmarkStart w:id="14" w:name="xdx_907_edei--LocalPhoneNumber_c20260914"/>
      <w:bookmarkEnd w:id="14"/>
      <w:r>
        <w:rPr>
          <w:rFonts w:ascii="Times New Roman;Times;Serif" w:hAnsi="Times New Roman;Times;Serif"/>
          <w:b/>
          <w:i w:val="false"/>
          <w:caps w:val="false"/>
          <w:smallCaps w:val="false"/>
          <w:sz w:val="20"/>
        </w:rPr>
        <w:t xml:space="preserve">983-5275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3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7400" w:type="dxa"/>
            <w:tcBorders/>
            <w:vAlign w:val="center"/>
          </w:tcPr>
          <w:p>
            <w:pPr>
              <w:pStyle w:val="TableContents"/>
              <w:bidi w:val="0"/>
              <w:spacing w:before="0" w:after="283"/>
              <w:jc w:val="both"/>
              <w:rPr/>
            </w:pPr>
            <w:r>
              <w:rPr/>
              <w:t xml:space="preserve">Written </w:t>
            </w:r>
            <w:r>
              <w:rPr>
                <w:sz w:val="20"/>
              </w:rPr>
              <w:t>communications pursuant to Rule 425 under the Securities Act (17 CFR 230.425)</w:t>
            </w:r>
          </w:p>
        </w:tc>
      </w:tr>
    </w:tbl>
    <w:p>
      <w:pPr>
        <w:pStyle w:val="TextBody"/>
        <w:bidi w:val="0"/>
        <w:spacing w:before="0" w:after="0"/>
        <w:ind w:left="2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SolicitingMaterial_c202609"/>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2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2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Exchange Act: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9015" w:type="dxa"/>
        <w:jc w:val="left"/>
        <w:tblInd w:w="0" w:type="dxa"/>
        <w:tblLayout w:type="fixed"/>
        <w:tblCellMar>
          <w:top w:w="0" w:type="dxa"/>
          <w:left w:w="0" w:type="dxa"/>
          <w:bottom w:w="0" w:type="dxa"/>
          <w:right w:w="0" w:type="dxa"/>
        </w:tblCellMar>
      </w:tblPr>
      <w:tblGrid>
        <w:gridCol w:w="3575"/>
        <w:gridCol w:w="60"/>
        <w:gridCol w:w="1610"/>
        <w:gridCol w:w="60"/>
        <w:gridCol w:w="3710"/>
      </w:tblGrid>
      <w:tr>
        <w:trPr/>
        <w:tc>
          <w:tcPr>
            <w:tcW w:w="35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75" w:type="dxa"/>
            <w:tcBorders>
              <w:top w:val="single" w:sz="8" w:space="0" w:color="000000"/>
            </w:tcBorders>
            <w:shd w:fill="CCEEFF" w:val="clear"/>
            <w:tcMar>
              <w:top w:w="28" w:type="dxa"/>
            </w:tcMar>
            <w:vAlign w:val="center"/>
          </w:tcPr>
          <w:p>
            <w:pPr>
              <w:pStyle w:val="TableContents"/>
              <w:bidi w:val="0"/>
              <w:spacing w:before="0" w:after="283"/>
              <w:jc w:val="center"/>
              <w:rPr>
                <w:rFonts w:ascii="Times New Roman;Times;Serif" w:hAnsi="Times New Roman;Times;Serif"/>
                <w:b/>
                <w:sz w:val="20"/>
              </w:rPr>
            </w:pPr>
            <w:bookmarkStart w:id="19" w:name="xdx_90F_edei--Security12bTitle_c20260914"/>
            <w:bookmarkEnd w:id="19"/>
            <w:r>
              <w:rPr>
                <w:rFonts w:ascii="Times New Roman;Times;Serif" w:hAnsi="Times New Roman;Times;Serif"/>
                <w:b/>
                <w:sz w:val="20"/>
              </w:rPr>
              <w:t>Common Stock, par value $0.01 per share</w:t>
            </w:r>
          </w:p>
        </w:tc>
        <w:tc>
          <w:tcPr>
            <w:tcW w:w="60" w:type="dxa"/>
            <w:tcBorders/>
            <w:shd w:fill="CCEEFF" w:val="clear"/>
            <w:vAlign w:val="center"/>
          </w:tcPr>
          <w:p>
            <w:pPr>
              <w:pStyle w:val="TableContents"/>
              <w:bidi w:val="0"/>
              <w:spacing w:before="0" w:after="283"/>
              <w:jc w:val="left"/>
              <w:rPr/>
            </w:pPr>
            <w:r>
              <w:rPr/>
              <w:t> </w:t>
            </w:r>
          </w:p>
        </w:tc>
        <w:tc>
          <w:tcPr>
            <w:tcW w:w="1610" w:type="dxa"/>
            <w:tcBorders>
              <w:top w:val="single" w:sz="8" w:space="0" w:color="000000"/>
            </w:tcBorders>
            <w:shd w:fill="CCEEFF" w:val="clear"/>
            <w:tcMar>
              <w:top w:w="28" w:type="dxa"/>
            </w:tcMar>
            <w:vAlign w:val="center"/>
          </w:tcPr>
          <w:p>
            <w:pPr>
              <w:pStyle w:val="TableContents"/>
              <w:bidi w:val="0"/>
              <w:spacing w:before="0" w:after="283"/>
              <w:jc w:val="center"/>
              <w:rPr>
                <w:rFonts w:ascii="Times New Roman;Times;Serif" w:hAnsi="Times New Roman;Times;Serif"/>
                <w:b/>
                <w:sz w:val="20"/>
              </w:rPr>
            </w:pPr>
            <w:bookmarkStart w:id="20" w:name="xdx_900_edei--TradingSymbol_c20260914__2"/>
            <w:bookmarkEnd w:id="20"/>
            <w:r>
              <w:rPr>
                <w:rFonts w:ascii="Times New Roman;Times;Serif" w:hAnsi="Times New Roman;Times;Serif"/>
                <w:b/>
                <w:sz w:val="20"/>
              </w:rPr>
              <w:t>OXSQ</w:t>
            </w:r>
          </w:p>
        </w:tc>
        <w:tc>
          <w:tcPr>
            <w:tcW w:w="60" w:type="dxa"/>
            <w:tcBorders/>
            <w:shd w:fill="CCEEFF" w:val="clear"/>
            <w:vAlign w:val="center"/>
          </w:tcPr>
          <w:p>
            <w:pPr>
              <w:pStyle w:val="TableContents"/>
              <w:bidi w:val="0"/>
              <w:spacing w:before="0" w:after="283"/>
              <w:jc w:val="left"/>
              <w:rPr/>
            </w:pPr>
            <w:r>
              <w:rPr/>
              <w:t> </w:t>
            </w:r>
          </w:p>
        </w:tc>
        <w:tc>
          <w:tcPr>
            <w:tcW w:w="3710" w:type="dxa"/>
            <w:tcBorders>
              <w:top w:val="single" w:sz="8" w:space="0" w:color="000000"/>
            </w:tcBorders>
            <w:shd w:fill="CCEEFF" w:val="clear"/>
            <w:tcMar>
              <w:top w:w="28" w:type="dxa"/>
            </w:tcMar>
            <w:vAlign w:val="center"/>
          </w:tcPr>
          <w:p>
            <w:pPr>
              <w:pStyle w:val="TableContents"/>
              <w:bidi w:val="0"/>
              <w:spacing w:before="0" w:after="283"/>
              <w:jc w:val="center"/>
              <w:rPr/>
            </w:pPr>
            <w:bookmarkStart w:id="21" w:name="xdx_904_edei--SecurityExchangeName_c2026"/>
            <w:bookmarkEnd w:id="21"/>
            <w:r>
              <w:rPr>
                <w:rFonts w:ascii="Times New Roman;Times;Serif" w:hAnsi="Times New Roman;Times;Serif"/>
                <w:b/>
                <w:sz w:val="20"/>
              </w:rPr>
              <w:t>NASDAQ</w:t>
            </w:r>
            <w:r>
              <w:rPr/>
              <w:t xml:space="preserve"> </w:t>
            </w:r>
            <w:r>
              <w:rPr>
                <w:rFonts w:ascii="Times New Roman;Times;Serif" w:hAnsi="Times New Roman;Times;Serif"/>
                <w:b/>
                <w:sz w:val="20"/>
              </w:rPr>
              <w:t>Global Select Market LLC</w:t>
            </w:r>
          </w:p>
        </w:tc>
      </w:tr>
      <w:tr>
        <w:trPr/>
        <w:tc>
          <w:tcPr>
            <w:tcW w:w="3575"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22" w:name="xdx_904_edei--Security12bTitle_c20260914"/>
            <w:bookmarkEnd w:id="22"/>
            <w:r>
              <w:rPr>
                <w:rFonts w:ascii="Times New Roman;Times;Serif" w:hAnsi="Times New Roman;Times;Serif"/>
                <w:b/>
                <w:sz w:val="20"/>
              </w:rPr>
              <w:t>5.50% Notes due 2028</w:t>
            </w:r>
          </w:p>
        </w:tc>
        <w:tc>
          <w:tcPr>
            <w:tcW w:w="6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23" w:name="xdx_90E_edei--TradingSymbol_c20260914__2"/>
            <w:bookmarkEnd w:id="23"/>
            <w:r>
              <w:rPr>
                <w:rFonts w:ascii="Times New Roman;Times;Serif" w:hAnsi="Times New Roman;Times;Serif"/>
                <w:b/>
                <w:sz w:val="20"/>
              </w:rPr>
              <w:t>OXSQG</w:t>
            </w:r>
          </w:p>
        </w:tc>
        <w:tc>
          <w:tcPr>
            <w:tcW w:w="60" w:type="dxa"/>
            <w:tcBorders/>
            <w:shd w:fill="FFFFFF" w:val="clear"/>
            <w:vAlign w:val="center"/>
          </w:tcPr>
          <w:p>
            <w:pPr>
              <w:pStyle w:val="TableContents"/>
              <w:bidi w:val="0"/>
              <w:spacing w:before="0" w:after="283"/>
              <w:jc w:val="left"/>
              <w:rPr/>
            </w:pPr>
            <w:r>
              <w:rPr/>
              <w:t> </w:t>
            </w:r>
          </w:p>
        </w:tc>
        <w:tc>
          <w:tcPr>
            <w:tcW w:w="3710" w:type="dxa"/>
            <w:tcBorders/>
            <w:shd w:fill="FFFFFF" w:val="clear"/>
            <w:vAlign w:val="center"/>
          </w:tcPr>
          <w:p>
            <w:pPr>
              <w:pStyle w:val="TableContents"/>
              <w:bidi w:val="0"/>
              <w:spacing w:before="0" w:after="283"/>
              <w:jc w:val="center"/>
              <w:rPr/>
            </w:pPr>
            <w:bookmarkStart w:id="24" w:name="xdx_909_edei--SecurityExchangeName_c2026"/>
            <w:bookmarkEnd w:id="24"/>
            <w:r>
              <w:rPr>
                <w:rFonts w:ascii="Times New Roman;Times;Serif" w:hAnsi="Times New Roman;Times;Serif"/>
                <w:b/>
                <w:sz w:val="20"/>
              </w:rPr>
              <w:t>NASDAQ</w:t>
            </w:r>
            <w:r>
              <w:rPr/>
              <w:t xml:space="preserve"> </w:t>
            </w:r>
            <w:r>
              <w:rPr>
                <w:rFonts w:ascii="Times New Roman;Times;Serif" w:hAnsi="Times New Roman;Times;Serif"/>
                <w:b/>
                <w:sz w:val="20"/>
              </w:rPr>
              <w:t>Global Select Market LLC</w:t>
            </w:r>
          </w:p>
        </w:tc>
      </w:tr>
      <w:tr>
        <w:trPr/>
        <w:tc>
          <w:tcPr>
            <w:tcW w:w="3575" w:type="dxa"/>
            <w:tcBorders/>
            <w:shd w:fill="CCEEFF" w:val="clear"/>
            <w:vAlign w:val="center"/>
          </w:tcPr>
          <w:p>
            <w:pPr>
              <w:pStyle w:val="TableContents"/>
              <w:bidi w:val="0"/>
              <w:spacing w:before="0" w:after="283"/>
              <w:jc w:val="center"/>
              <w:rPr>
                <w:rFonts w:ascii="Times New Roman;Times;Serif" w:hAnsi="Times New Roman;Times;Serif"/>
                <w:b/>
                <w:sz w:val="20"/>
              </w:rPr>
            </w:pPr>
            <w:bookmarkStart w:id="25" w:name="xdx_909_edei--Security12bTitle_c20260914"/>
            <w:bookmarkEnd w:id="25"/>
            <w:r>
              <w:rPr>
                <w:rFonts w:ascii="Times New Roman;Times;Serif" w:hAnsi="Times New Roman;Times;Serif"/>
                <w:b/>
                <w:sz w:val="20"/>
              </w:rPr>
              <w:t>7.75% Notes due 2030</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center"/>
              <w:rPr>
                <w:rFonts w:ascii="Times New Roman;Times;Serif" w:hAnsi="Times New Roman;Times;Serif"/>
                <w:b/>
                <w:sz w:val="20"/>
              </w:rPr>
            </w:pPr>
            <w:bookmarkStart w:id="26" w:name="xdx_905_edei--TradingSymbol_c20260914__2"/>
            <w:bookmarkEnd w:id="26"/>
            <w:r>
              <w:rPr>
                <w:rFonts w:ascii="Times New Roman;Times;Serif" w:hAnsi="Times New Roman;Times;Serif"/>
                <w:b/>
                <w:sz w:val="20"/>
              </w:rPr>
              <w:t>OXSQH</w:t>
            </w:r>
          </w:p>
        </w:tc>
        <w:tc>
          <w:tcPr>
            <w:tcW w:w="60" w:type="dxa"/>
            <w:tcBorders/>
            <w:shd w:fill="CCEEFF" w:val="clear"/>
            <w:vAlign w:val="center"/>
          </w:tcPr>
          <w:p>
            <w:pPr>
              <w:pStyle w:val="TableContents"/>
              <w:bidi w:val="0"/>
              <w:spacing w:before="0" w:after="283"/>
              <w:jc w:val="left"/>
              <w:rPr/>
            </w:pPr>
            <w:r>
              <w:rPr/>
              <w:t> </w:t>
            </w:r>
          </w:p>
        </w:tc>
        <w:tc>
          <w:tcPr>
            <w:tcW w:w="3710" w:type="dxa"/>
            <w:tcBorders/>
            <w:shd w:fill="CCEEFF" w:val="clear"/>
            <w:vAlign w:val="center"/>
          </w:tcPr>
          <w:p>
            <w:pPr>
              <w:pStyle w:val="TableContents"/>
              <w:bidi w:val="0"/>
              <w:spacing w:before="0" w:after="283"/>
              <w:jc w:val="center"/>
              <w:rPr/>
            </w:pPr>
            <w:bookmarkStart w:id="27" w:name="xdx_901_edei--SecurityExchangeName_c2026"/>
            <w:bookmarkEnd w:id="27"/>
            <w:r>
              <w:rPr>
                <w:rFonts w:ascii="Times New Roman;Times;Serif" w:hAnsi="Times New Roman;Times;Serif"/>
                <w:b/>
                <w:sz w:val="20"/>
              </w:rPr>
              <w:t>NASDAQ</w:t>
            </w:r>
            <w:r>
              <w:rPr/>
              <w:t xml:space="preserve"> </w:t>
            </w:r>
            <w:r>
              <w:rPr>
                <w:rFonts w:ascii="Times New Roman;Times;Serif" w:hAnsi="Times New Roman;Times;Serif"/>
                <w:b/>
                <w:sz w:val="20"/>
              </w:rPr>
              <w:t>Global Select Market LLC</w:t>
            </w:r>
          </w:p>
        </w:tc>
      </w:tr>
    </w:tbl>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9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September 14, 2026, Oxford Square Capital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shd w:fill="FFFFFF" w:val="clear"/>
        </w:rPr>
        <w:t>”) notified U.S. Bank Trust Company, National Association, the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shd w:fill="FFFFFF" w:val="clear"/>
        </w:rPr>
        <w:t xml:space="preserve">”) for the Company’s 5.50% Notes due 2028 </w:t>
      </w:r>
      <w:r>
        <w:rPr>
          <w:rFonts w:ascii="Times New Roman;Times;Serif" w:hAnsi="Times New Roman;Times;Serif"/>
          <w:b w:val="false"/>
          <w:i w:val="false"/>
          <w:caps w:val="false"/>
          <w:smallCaps w:val="false"/>
          <w:sz w:val="20"/>
        </w:rPr>
        <w:t>(CUSIP No. 69181V 503; NasdaqGS: OXSQG)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of the Company’s election to redeem $15,000,000 in aggregate principal amount of the Notes outstanding, and instructed the Trustee to provide notice of such redemption to the holders of the Notes in accordance with the terms of the indenture governing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redeem $15,000,000 of the $80.5 million Notes issued and outstanding on October 14, 2026 (the “</w:t>
      </w:r>
      <w:r>
        <w:rPr>
          <w:rFonts w:ascii="Times New Roman;Times;Serif" w:hAnsi="Times New Roman;Times;Serif"/>
          <w:b/>
          <w:i/>
          <w:caps w:val="false"/>
          <w:smallCaps w:val="false"/>
          <w:sz w:val="20"/>
        </w:rPr>
        <w:t>Redemption Date</w:t>
      </w:r>
      <w:r>
        <w:rPr>
          <w:rFonts w:ascii="Times New Roman;Times;Serif" w:hAnsi="Times New Roman;Times;Serif"/>
          <w:b w:val="false"/>
          <w:i w:val="false"/>
          <w:caps w:val="false"/>
          <w:smallCaps w:val="false"/>
          <w:sz w:val="20"/>
        </w:rPr>
        <w:t>”). The redemption price per Note will be $25 plus accrued and unpaid interest thereon from July 31, 2026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should be presented and surrendered by mail, hand or overnight mail at U.S. Bank Corporate Trust Services, 111 Fillmore Avenue E., St. Paul, MN 55107, Attention: Oxford Square Capital Corp. (Glen Fougere) (5.50% Notes Due 2028). </w:t>
      </w:r>
      <w:r>
        <w:rPr>
          <w:rFonts w:ascii="Times New Roman;Times;Serif" w:hAnsi="Times New Roman;Times;Serif"/>
          <w:b w:val="false"/>
          <w:i w:val="false"/>
          <w:caps w:val="false"/>
          <w:smallCaps w:val="false"/>
          <w:sz w:val="20"/>
          <w:shd w:fill="FFFFFF" w:val="clear"/>
        </w:rPr>
        <w:t>This Current Report on Form 8-K does not constitute a notice of redemption of the Notes.</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included in this Current Report on Form 8-K are forward-looking statements and are not guarantees of future events, performance or results and involve a number of risks and uncertainties. Actual events or results may differ materially from those in the forward-looking statements as a result of a number of factors, including those described from time to time in the Company’s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words such as “anticipates,” “expects,” “intends,” “plans,” “will,” “may,” “continue,” “believes,” “seeks,” “estimates,” “would,” “could,” “should,” “targets,” “projects,” and variations of these words and similar expressions to identify forward-looking statements. Such statements are based on currently available operating, financial and competitive information and are subject to various risks and uncertainties that could cause actual events or results to differ materially from the Company’s historical experience and its present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673" w:type="dxa"/>
        <w:jc w:val="left"/>
        <w:tblInd w:w="0" w:type="dxa"/>
        <w:tblLayout w:type="fixed"/>
        <w:tblCellMar>
          <w:top w:w="0" w:type="dxa"/>
          <w:left w:w="0" w:type="dxa"/>
          <w:bottom w:w="0" w:type="dxa"/>
          <w:right w:w="0" w:type="dxa"/>
        </w:tblCellMar>
      </w:tblPr>
      <w:tblGrid>
        <w:gridCol w:w="2180"/>
        <w:gridCol w:w="332"/>
        <w:gridCol w:w="613"/>
        <w:gridCol w:w="1548"/>
      </w:tblGrid>
      <w:tr>
        <w:trPr/>
        <w:tc>
          <w:tcPr>
            <w:tcW w:w="2180" w:type="dxa"/>
            <w:tcBorders/>
            <w:vAlign w:val="center"/>
          </w:tcPr>
          <w:p>
            <w:pPr>
              <w:pStyle w:val="TableContents"/>
              <w:bidi w:val="0"/>
              <w:spacing w:before="0" w:after="283"/>
              <w:jc w:val="left"/>
              <w:rPr/>
            </w:pPr>
            <w:r>
              <w:rPr/>
              <w:t> </w:t>
            </w:r>
          </w:p>
        </w:tc>
        <w:tc>
          <w:tcPr>
            <w:tcW w:w="2493" w:type="dxa"/>
            <w:gridSpan w:val="3"/>
            <w:tcBorders/>
            <w:vAlign w:val="center"/>
          </w:tcPr>
          <w:p>
            <w:pPr>
              <w:pStyle w:val="TableContents"/>
              <w:bidi w:val="0"/>
              <w:spacing w:before="0" w:after="283"/>
              <w:jc w:val="left"/>
              <w:rPr>
                <w:b/>
                <w:sz w:val="20"/>
              </w:rPr>
            </w:pPr>
            <w:r>
              <w:rPr>
                <w:b/>
                <w:sz w:val="20"/>
              </w:rPr>
              <w:t>Oxford Square Capital Corp.</w:t>
            </w:r>
          </w:p>
        </w:tc>
      </w:tr>
      <w:tr>
        <w:trPr/>
        <w:tc>
          <w:tcPr>
            <w:tcW w:w="2180" w:type="dxa"/>
            <w:tcBorders/>
            <w:vAlign w:val="center"/>
          </w:tcPr>
          <w:p>
            <w:pPr>
              <w:pStyle w:val="TableContents"/>
              <w:bidi w:val="0"/>
              <w:spacing w:before="0" w:after="283"/>
              <w:jc w:val="left"/>
              <w:rPr>
                <w:sz w:val="20"/>
              </w:rPr>
            </w:pPr>
            <w:r>
              <w:rPr>
                <w:sz w:val="20"/>
              </w:rPr>
              <w:t xml:space="preserve">Date: September 14, 2026 </w:t>
            </w:r>
          </w:p>
        </w:tc>
        <w:tc>
          <w:tcPr>
            <w:tcW w:w="332" w:type="dxa"/>
            <w:tcBorders/>
            <w:vAlign w:val="center"/>
          </w:tcPr>
          <w:p>
            <w:pPr>
              <w:pStyle w:val="TableContents"/>
              <w:bidi w:val="0"/>
              <w:spacing w:before="0" w:after="283"/>
              <w:jc w:val="left"/>
              <w:rPr/>
            </w:pPr>
            <w:r>
              <w:rPr/>
              <w:t> </w:t>
            </w:r>
          </w:p>
        </w:tc>
        <w:tc>
          <w:tcPr>
            <w:tcW w:w="2161"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sz w:val="20"/>
              </w:rPr>
            </w:pPr>
            <w:r>
              <w:rPr>
                <w:sz w:val="20"/>
              </w:rPr>
              <w:t>By:</w:t>
            </w:r>
          </w:p>
        </w:tc>
        <w:tc>
          <w:tcPr>
            <w:tcW w:w="216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Saul B. Rosenthal</w:t>
            </w:r>
          </w:p>
        </w:tc>
      </w:tr>
      <w:tr>
        <w:trPr/>
        <w:tc>
          <w:tcPr>
            <w:tcW w:w="218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sz w:val="20"/>
              </w:rPr>
            </w:pPr>
            <w:r>
              <w:rPr>
                <w:sz w:val="20"/>
              </w:rPr>
              <w:t xml:space="preserve">Name: </w:t>
            </w:r>
          </w:p>
        </w:tc>
        <w:tc>
          <w:tcPr>
            <w:tcW w:w="1548" w:type="dxa"/>
            <w:tcBorders/>
            <w:vAlign w:val="center"/>
          </w:tcPr>
          <w:p>
            <w:pPr>
              <w:pStyle w:val="TableContents"/>
              <w:bidi w:val="0"/>
              <w:spacing w:before="0" w:after="283"/>
              <w:jc w:val="left"/>
              <w:rPr>
                <w:sz w:val="20"/>
              </w:rPr>
            </w:pPr>
            <w:r>
              <w:rPr>
                <w:sz w:val="20"/>
              </w:rPr>
              <w:t>Saul B. Rosenthal</w:t>
            </w:r>
          </w:p>
        </w:tc>
      </w:tr>
      <w:tr>
        <w:trPr/>
        <w:tc>
          <w:tcPr>
            <w:tcW w:w="218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sz w:val="20"/>
              </w:rPr>
            </w:pPr>
            <w:r>
              <w:rPr>
                <w:sz w:val="20"/>
              </w:rPr>
              <w:t xml:space="preserve">Title: </w:t>
            </w:r>
          </w:p>
        </w:tc>
        <w:tc>
          <w:tcPr>
            <w:tcW w:w="1548" w:type="dxa"/>
            <w:tcBorders/>
            <w:vAlign w:val="center"/>
          </w:tcPr>
          <w:p>
            <w:pPr>
              <w:pStyle w:val="TableContents"/>
              <w:bidi w:val="0"/>
              <w:spacing w:before="0" w:after="283"/>
              <w:jc w:val="left"/>
              <w:rPr>
                <w:sz w:val="20"/>
              </w:rPr>
            </w:pPr>
            <w:r>
              <w:rPr>
                <w:sz w:val="20"/>
              </w:rPr>
              <w:t xml:space="preserve">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752</Words>
  <Characters>4165</Characters>
  <CharactersWithSpaces>4923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