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ROSENTHAL SAUL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OXFORD SQUARE CAPITAL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SOUND SHORE DRIVE, SUITE 255</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GREENWICH</w:t>
            </w:r>
          </w:p>
        </w:tc>
        <w:tc>
          <w:tcPr>
            <w:tcW w:w="900" w:type="dxa"/>
            <w:vAlign w:val="bottom"/>
          </w:tcPr>
          <w:p>
            <w:pPr>
              <w:ind w:left="8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06830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Oxford Square Capital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OXSQ</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President and COO</w:t>
            </w:r>
          </w:p>
        </w:tc>
        <w:tc>
          <w:tcPr>
            <w:tcW w:w="0" w:type="dxa"/>
            <w:vAlign w:val="bottom"/>
          </w:tcPr>
          <w:p>
            <w:pPr>
              <w:spacing w:after="0"/>
              <w:rPr>
                <w:sz w:val="1"/>
                <w:szCs w:val="1"/>
                <w:color w:val="auto"/>
              </w:rPr>
            </w:pPr>
          </w:p>
        </w:tc>
      </w:tr>
      <w:tr>
        <w:trPr>
          <w:trHeight w:val="220"/>
        </w:trPr>
        <w:tc>
          <w:tcPr>
            <w:tcW w:w="2540" w:type="dxa"/>
            <w:vAlign w:val="bottom"/>
            <w:gridSpan w:val="3"/>
          </w:tcPr>
          <w:p>
            <w:pPr>
              <w:ind w:left="80"/>
              <w:spacing w:after="0"/>
              <w:rPr>
                <w:sz w:val="20"/>
                <w:szCs w:val="20"/>
                <w:color w:val="auto"/>
              </w:rPr>
            </w:pPr>
            <w:r>
              <w:rPr>
                <w:rFonts w:ascii="Arial" w:cs="Arial" w:eastAsia="Arial" w:hAnsi="Arial"/>
                <w:sz w:val="17"/>
                <w:szCs w:val="17"/>
                <w:color w:val="0000FF"/>
              </w:rPr>
              <w:t>05/27/2022</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05/27/2022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1,773</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4.029</w:t>
            </w:r>
            <w:r>
              <w:rPr>
                <w:rFonts w:ascii="Arial" w:cs="Arial" w:eastAsia="Arial" w:hAnsi="Arial"/>
                <w:sz w:val="22"/>
                <w:szCs w:val="22"/>
                <w:color w:val="008000"/>
                <w:w w:val="97"/>
                <w:vertAlign w:val="superscript"/>
              </w:rPr>
              <w:t>(2)</w:t>
            </w:r>
          </w:p>
        </w:tc>
        <w:tc>
          <w:tcPr>
            <w:tcW w:w="11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1,542,582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7"/>
                <w:szCs w:val="17"/>
                <w:color w:val="0000FF"/>
              </w:rPr>
              <w:t>933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purchased into a joint tenants in common account in which Mr. Rosenthal has a 50% pecuniary interest. The number of shares reported represents only Mr. Rosenthal's 50% pecuniary interest in such account. Jonathan H. Cohen, CEO and a director of the issuer, has a 50% pecuniary interest in such account.</w:t>
      </w:r>
    </w:p>
    <w:p>
      <w:pPr>
        <w:spacing w:after="0" w:line="1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ranging from $4.02 to $4.05, inclusive. The reporting person undertakes to provide the Company, any security holder of the Company, or the staff of the Securities and Exchange Commission, upon request, full information regarding the number of shares purchased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Oxford Funds, LLC, which may be deemed to be beneficially owned by Mr. Rosenthal by virtue of his ownership interest therein.</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Saul B. Rosenthal</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05/31/2022</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8529" TargetMode="External"/><Relationship Id="rId13"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2022-05-31T13:55:32Z</dcterms:created>
  <dcterms:modified xsi:type="dcterms:W3CDTF">2022-05-31T13:55:32Z</dcterms:modified>
</cp:coreProperties>
</file>