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COHEN JONATHAN 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OXFORD SQUARE CAPITAL CORP.</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 SOUND SHORE DRIVE, SUITE 255</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GREENWICH</w:t>
            </w:r>
          </w:p>
        </w:tc>
        <w:tc>
          <w:tcPr>
            <w:tcW w:w="900" w:type="dxa"/>
            <w:vAlign w:val="bottom"/>
          </w:tcPr>
          <w:p>
            <w:pPr>
              <w:ind w:left="80"/>
              <w:spacing w:after="0"/>
              <w:rPr>
                <w:sz w:val="20"/>
                <w:szCs w:val="20"/>
                <w:color w:val="auto"/>
              </w:rPr>
            </w:pPr>
            <w:r>
              <w:rPr>
                <w:rFonts w:ascii="Arial" w:cs="Arial" w:eastAsia="Arial" w:hAnsi="Arial"/>
                <w:sz w:val="17"/>
                <w:szCs w:val="17"/>
                <w:color w:val="0000FF"/>
              </w:rPr>
              <w:t>CT</w:t>
            </w:r>
          </w:p>
        </w:tc>
        <w:tc>
          <w:tcPr>
            <w:tcW w:w="1600" w:type="dxa"/>
            <w:vAlign w:val="bottom"/>
          </w:tcPr>
          <w:p>
            <w:pPr>
              <w:ind w:left="400"/>
              <w:spacing w:after="0"/>
              <w:rPr>
                <w:sz w:val="20"/>
                <w:szCs w:val="20"/>
                <w:color w:val="auto"/>
              </w:rPr>
            </w:pPr>
            <w:r>
              <w:rPr>
                <w:rFonts w:ascii="Arial" w:cs="Arial" w:eastAsia="Arial" w:hAnsi="Arial"/>
                <w:sz w:val="17"/>
                <w:szCs w:val="17"/>
                <w:color w:val="0000FF"/>
              </w:rPr>
              <w:t>06830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Oxford Square Capital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OXSQ</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gridSpan w:val="2"/>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340" w:type="dxa"/>
            <w:vAlign w:val="bottom"/>
            <w:tcBorders>
              <w:bottom w:val="single" w:sz="8" w:color="2C2C2C"/>
            </w:tcBorders>
          </w:tcPr>
          <w:p>
            <w:pPr>
              <w:spacing w:after="0"/>
              <w:rPr>
                <w:sz w:val="14"/>
                <w:szCs w:val="14"/>
                <w:color w:val="auto"/>
              </w:rPr>
            </w:pPr>
          </w:p>
        </w:tc>
        <w:tc>
          <w:tcPr>
            <w:tcW w:w="128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3"/>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540" w:type="dxa"/>
            <w:vAlign w:val="bottom"/>
            <w:gridSpan w:val="3"/>
          </w:tcPr>
          <w:p>
            <w:pPr>
              <w:ind w:left="80"/>
              <w:spacing w:after="0"/>
              <w:rPr>
                <w:sz w:val="20"/>
                <w:szCs w:val="20"/>
                <w:color w:val="auto"/>
              </w:rPr>
            </w:pPr>
            <w:r>
              <w:rPr>
                <w:rFonts w:ascii="Arial" w:cs="Arial" w:eastAsia="Arial" w:hAnsi="Arial"/>
                <w:sz w:val="17"/>
                <w:szCs w:val="17"/>
                <w:color w:val="0000FF"/>
              </w:rPr>
              <w:t>05/27/2022</w:t>
            </w: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gridSpan w:val="2"/>
          </w:tcPr>
          <w:p>
            <w:pPr>
              <w:ind w:left="320"/>
              <w:spacing w:after="0"/>
              <w:rPr>
                <w:sz w:val="20"/>
                <w:szCs w:val="20"/>
                <w:color w:val="auto"/>
              </w:rPr>
            </w:pPr>
            <w:r>
              <w:rPr>
                <w:rFonts w:ascii="Arial" w:cs="Arial" w:eastAsia="Arial" w:hAnsi="Arial"/>
                <w:sz w:val="17"/>
                <w:szCs w:val="17"/>
                <w:color w:val="0000FF"/>
              </w:rPr>
              <w:t>Chief Executive Officer</w:t>
            </w: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05/27/2022</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P</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1,773</w:t>
            </w:r>
            <w:r>
              <w:rPr>
                <w:rFonts w:ascii="Arial" w:cs="Arial" w:eastAsia="Arial" w:hAnsi="Arial"/>
                <w:sz w:val="22"/>
                <w:szCs w:val="22"/>
                <w:color w:val="008000"/>
                <w:vertAlign w:val="superscript"/>
              </w:rPr>
              <w:t>(1)</w:t>
            </w:r>
          </w:p>
        </w:tc>
        <w:tc>
          <w:tcPr>
            <w:tcW w:w="4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80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4.029</w:t>
            </w:r>
            <w:r>
              <w:rPr>
                <w:rFonts w:ascii="Arial" w:cs="Arial" w:eastAsia="Arial" w:hAnsi="Arial"/>
                <w:sz w:val="22"/>
                <w:szCs w:val="22"/>
                <w:color w:val="008000"/>
                <w:w w:val="97"/>
                <w:vertAlign w:val="superscript"/>
              </w:rPr>
              <w:t>(2)</w:t>
            </w:r>
          </w:p>
        </w:tc>
        <w:tc>
          <w:tcPr>
            <w:tcW w:w="1180" w:type="dxa"/>
            <w:vAlign w:val="bottom"/>
            <w:tcBorders>
              <w:bottom w:val="single" w:sz="8" w:color="2C2C2C"/>
            </w:tcBorders>
            <w:gridSpan w:val="2"/>
          </w:tcPr>
          <w:p>
            <w:pPr>
              <w:jc w:val="right"/>
              <w:ind w:right="220"/>
              <w:spacing w:after="0"/>
              <w:rPr>
                <w:sz w:val="20"/>
                <w:szCs w:val="20"/>
                <w:color w:val="auto"/>
              </w:rPr>
            </w:pPr>
            <w:r>
              <w:rPr>
                <w:rFonts w:ascii="Arial" w:cs="Arial" w:eastAsia="Arial" w:hAnsi="Arial"/>
                <w:sz w:val="17"/>
                <w:szCs w:val="17"/>
                <w:color w:val="0000FF"/>
              </w:rPr>
              <w:t>1,704,368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vMerge w:val="restart"/>
          </w:tcPr>
          <w:p>
            <w:pPr>
              <w:jc w:val="right"/>
              <w:ind w:right="420"/>
              <w:spacing w:after="0"/>
              <w:rPr>
                <w:sz w:val="20"/>
                <w:szCs w:val="20"/>
                <w:color w:val="auto"/>
              </w:rPr>
            </w:pPr>
            <w:r>
              <w:rPr>
                <w:rFonts w:ascii="Arial" w:cs="Arial" w:eastAsia="Arial" w:hAnsi="Arial"/>
                <w:sz w:val="17"/>
                <w:szCs w:val="17"/>
                <w:color w:val="0000FF"/>
              </w:rPr>
              <w:t>933</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purchased into a joint tenants in common account in which Mr. Cohen has a 50% pecuniary interest. The number of shares reported represents only Mr. Cohen's 50% pecuniary interest in such account. Saul B. Rosenthal, President and COO of the issuer, has a 50% pecuniary interest in such account.</w:t>
      </w:r>
    </w:p>
    <w:p>
      <w:pPr>
        <w:spacing w:after="0" w:line="15" w:lineRule="exact"/>
        <w:rPr>
          <w:rFonts w:ascii="Arial" w:cs="Arial" w:eastAsia="Arial" w:hAnsi="Arial"/>
          <w:sz w:val="13"/>
          <w:szCs w:val="13"/>
          <w:color w:val="008000"/>
        </w:rPr>
      </w:pPr>
    </w:p>
    <w:p>
      <w:pPr>
        <w:ind w:left="40" w:right="3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purchased in multiple transactions ranging from $4.02 to $4.05, inclusive. The reporting person undertakes to provide the Company, any security holder of the Company, or the staff of the Securities and Exchange Commission, upon request, full information regarding the number of shares purchased at each separate price within the ranges set forth in this footnote.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by Oxford Funds, LLC, which may be deemed to be beneficially owned by Mr. Cohen by virtue of his ownership interest therein.</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/s/ Jonathan H. Cohen</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05/31/2022</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68530" TargetMode="External"/><Relationship Id="rId13" Type="http://schemas.openxmlformats.org/officeDocument/2006/relationships/hyperlink" Target="http://www.sec.gov/cgi-bin/browse-edgar?action=getcompany&amp;CIK=00012594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2022-05-31T13:58:23Z</dcterms:created>
  <dcterms:modified xsi:type="dcterms:W3CDTF">2022-05-31T13:58:23Z</dcterms:modified>
</cp:coreProperties>
</file>