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9"/>
              </w:rPr>
              <w:t>Current Report Pursuant to Section 13 or 15(d) of</w:t>
            </w: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April 29, 2026</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OXFORD SQUARE CAPITAL CORP.</w:t>
            </w: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40" w:type="dxa"/>
            <w:vAlign w:val="bottom"/>
          </w:tcPr>
          <w:p>
            <w:pPr>
              <w:spacing w:after="0"/>
              <w:rPr>
                <w:sz w:val="20"/>
                <w:szCs w:val="20"/>
                <w:color w:val="auto"/>
              </w:rPr>
            </w:pPr>
          </w:p>
        </w:tc>
      </w:tr>
      <w:tr>
        <w:trPr>
          <w:trHeight w:val="432"/>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814-00638</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20-0188736</w:t>
            </w:r>
          </w:p>
        </w:tc>
      </w:tr>
      <w:tr>
        <w:trPr>
          <w:trHeight w:val="191"/>
        </w:trPr>
        <w:tc>
          <w:tcPr>
            <w:tcW w:w="3080" w:type="dxa"/>
            <w:vAlign w:val="bottom"/>
            <w:tcBorders>
              <w:top w:val="single" w:sz="8" w:color="auto"/>
            </w:tcBorders>
          </w:tcPr>
          <w:p>
            <w:pPr>
              <w:jc w:val="center"/>
              <w:ind w:left="41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8 Sound Shore Drive, Suite 255</w:t>
            </w:r>
          </w:p>
        </w:tc>
        <w:tc>
          <w:tcPr>
            <w:tcW w:w="2940" w:type="dxa"/>
            <w:vAlign w:val="bottom"/>
          </w:tcPr>
          <w:p>
            <w:pPr>
              <w:spacing w:after="0"/>
              <w:rPr>
                <w:sz w:val="24"/>
                <w:szCs w:val="24"/>
                <w:color w:val="auto"/>
              </w:rPr>
            </w:pPr>
          </w:p>
        </w:tc>
      </w:tr>
      <w:tr>
        <w:trPr>
          <w:trHeight w:val="220"/>
        </w:trPr>
        <w:tc>
          <w:tcPr>
            <w:tcW w:w="3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2940" w:type="dxa"/>
            <w:vAlign w:val="bottom"/>
          </w:tcPr>
          <w:p>
            <w:pPr>
              <w:spacing w:after="0"/>
              <w:rPr>
                <w:sz w:val="19"/>
                <w:szCs w:val="19"/>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(203) 983-5275</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OXSQ</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 Notes due 2028</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OXSQG</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7.75% Notes due 2030</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OXSQH</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April 29, 2026, Oxford Square Capital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financial results for the first quarter ended March 31, 2026. The text of the press release is included as Exhibit 99.1 to this Form 8-K.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is being furnished and shall not be deemed “filed” for purposes of Section 18 of the Securities Exchange Act of 1934, as amended, or otherwise subject to the liabilities of that section. The information set forth under this Item 2.02, including Exhibit 99.1, shall not be incorporated by reference into any registration statement or other document pursuant to the Securities Act of 1933, as amended, unless it is specifically incorporated by reference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April 29, 2026, the Company issued a press release, included herewith as Exhibit 99.1, announcing the declaration of distributions for the months ending July 31, 2026, August 31, 2026, and September 30, 2026. Additionally, on April 29, 2026, the Company made available on its website,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supplemental investor information with respect to the aforementioned earnings press release.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7"/>
          <w:szCs w:val="17"/>
          <w:color w:val="auto"/>
        </w:rPr>
        <w:t>OXFORD SQUARE CAPITAL CORP.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Saul B. Rosenthal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3" w:name="page4"/>
    <w:bookmarkEnd w:id="3"/>
    <w:p>
      <w:pPr>
        <w:spacing w:after="0" w:line="62"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Oxford Square Capital Corp. Announces Net Asset Value and Selected Financial Results for the Quarter Ended March 31, 2026 and Declaration of Distributions on Common Stock for the Months Ending July 31, August 31, and September 30, 2026.</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GREENWICH, CT – 4/29/2026 –Oxford Square Capital Corp. (NasdaqGS: OXSQ) (NasdaqGS: OXSQG) (NasdaqGS: OXSQH) (the “Company,” “we,” “us” or “our”) announced today its financial results and related information for the quarter ended March 31, 2026.</w:t>
      </w:r>
    </w:p>
    <w:p>
      <w:pPr>
        <w:spacing w:after="0" w:line="16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On April 27, 2026, our Board of Directors declared the following distributions on our common stock:</w:t>
      </w:r>
    </w:p>
    <w:p>
      <w:pPr>
        <w:spacing w:after="0" w:line="223" w:lineRule="exact"/>
        <w:rPr>
          <w:sz w:val="20"/>
          <w:szCs w:val="20"/>
          <w:color w:val="auto"/>
        </w:rPr>
      </w:pPr>
    </w:p>
    <w:tbl>
      <w:tblPr>
        <w:tblLayout w:type="fixed"/>
        <w:tblInd w:w="1150" w:type="dxa"/>
        <w:tblCellMar>
          <w:top w:w="0" w:type="dxa"/>
          <w:left w:w="0" w:type="dxa"/>
          <w:bottom w:w="0" w:type="dxa"/>
          <w:right w:w="0" w:type="dxa"/>
        </w:tblCellMar>
      </w:tblPr>
      <w:tr>
        <w:trPr>
          <w:trHeight w:val="230"/>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Ending</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Per Share</w:t>
            </w:r>
          </w:p>
        </w:tc>
      </w:tr>
      <w:tr>
        <w:trPr>
          <w:trHeight w:val="209"/>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July 31, 2026</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17,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31,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$0.035</w:t>
            </w:r>
          </w:p>
        </w:tc>
      </w:tr>
      <w:tr>
        <w:trPr>
          <w:trHeight w:val="209"/>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31, 2026</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17,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31,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$0.035</w:t>
            </w:r>
          </w:p>
        </w:tc>
      </w:tr>
      <w:tr>
        <w:trPr>
          <w:trHeight w:val="210"/>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16,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$0.035</w:t>
            </w:r>
          </w:p>
        </w:tc>
      </w:tr>
    </w:tbl>
    <w:p>
      <w:pPr>
        <w:spacing w:after="0" w:line="198"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Net asset value (“NAV”) per share as of March 31, 2026 stood at $1.32, compared with a NAV per share on December 31, 2025 of $1.69.</w:t>
      </w:r>
    </w:p>
    <w:p>
      <w:pPr>
        <w:spacing w:after="0" w:line="224" w:lineRule="exact"/>
        <w:rPr>
          <w:sz w:val="20"/>
          <w:szCs w:val="20"/>
          <w:color w:val="auto"/>
        </w:rPr>
      </w:pPr>
    </w:p>
    <w:p>
      <w:pPr>
        <w:ind w:left="660" w:right="680" w:hanging="319"/>
        <w:spacing w:after="0" w:line="281"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Net investment income (“NII”) was approximately $4.1 million, or $0.05 per share, for the quarter ended March 31, 2026, compared with approximately $5.4 million, or $0.07 per share, for the quarter ended December 31, 2025.</w:t>
      </w:r>
    </w:p>
    <w:p>
      <w:pPr>
        <w:spacing w:after="0" w:line="162" w:lineRule="exact"/>
        <w:rPr>
          <w:sz w:val="20"/>
          <w:szCs w:val="20"/>
          <w:color w:val="auto"/>
        </w:rPr>
      </w:pPr>
    </w:p>
    <w:p>
      <w:pPr>
        <w:ind w:left="660" w:right="420" w:hanging="319"/>
        <w:spacing w:after="0" w:line="281"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Total investment income for the quarter ended March 31, 2026 amounted to approximately $8.9 million, compared with approximately $10.4 million for the quarter ended December 31, 2025.</w:t>
      </w:r>
    </w:p>
    <w:p>
      <w:pPr>
        <w:spacing w:after="0" w:line="162"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quarter ended March 31, 2026 we recorded investment income from our portfolio as follows:</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$5.1 million from our debt investments;</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$3.2 million from our CLO equity investments; and</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$0.6 million from other income.</w:t>
      </w:r>
    </w:p>
    <w:p>
      <w:pPr>
        <w:spacing w:after="0" w:line="225" w:lineRule="exact"/>
        <w:rPr>
          <w:rFonts w:ascii="Wingdings" w:cs="Wingdings" w:eastAsia="Wingdings" w:hAnsi="Wingdings"/>
          <w:sz w:val="18"/>
          <w:szCs w:val="18"/>
          <w:b w:val="1"/>
          <w:bCs w:val="1"/>
          <w:color w:val="auto"/>
        </w:rPr>
      </w:pPr>
    </w:p>
    <w:p>
      <w:pPr>
        <w:ind w:left="660" w:right="2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total expenses for the quarter ended March 31, 2026 were approximately $4.8 million, compared with total expenses of approximately $5.0 million for the quarter ended December 31, 2025.</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the following metrics applied (note that none of these metrics represented a total return to shareholders):</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yield of our debt investments was 14.7% at current cost, compared with 14.5% as of December 31, 2025;</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effective yield of our CLO equity investments at current cost was 7.3%, compared with 8.6% as of December 31, 2025;</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cash distribution yield of our cash income producing senior secured note investments at current cost was 8.0%, compared with 9.5% as of December 31, 2025;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cash distribution yield of our cash income producing CLO equity investments at current cost was 13.6%, compared with 14.2% as of December 31, 2025.</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quarter ended March 31, 2026, we recorded a net decrease in net assets resulting from operations of approximately $25.5 million, consisting of:</w:t>
      </w:r>
    </w:p>
    <w:p>
      <w:pPr>
        <w:spacing w:after="0" w:line="162"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NII of approximately $4.1 million;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losses of approximately $30.7 million;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unrealized appreciation of approximately $1.1 million.</w:t>
      </w:r>
    </w:p>
    <w:p>
      <w:pPr>
        <w:spacing w:after="0" w:line="225"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During the first quarter of 2026, our investment activity consisted of purchases of approximately $15.8 million and repayments of approximately $0.4 million. No sales were made during the quarter.</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weighted average credit rating was 2.2 based on total fair value and 2.4 based on total principal amount as of March 31, 2026, compared with a weighted average credit rating of 2.2 based on total fair value and 2.3 based on total principal amount as of December 31, 2025.</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we had one debt investment on non-accrual status, with a fair value of approximately $3.5 million. Also, as of March 31, 2026, our preferred equity investments in one of our portfolio companies were on non-accrual status, which had an aggregate fair value of approximately $5.2 million.</w:t>
      </w:r>
    </w:p>
    <w:p>
      <w:pPr>
        <w:spacing w:after="0" w:line="177" w:lineRule="exact"/>
        <w:rPr>
          <w:rFonts w:ascii="Arial" w:cs="Arial" w:eastAsia="Arial" w:hAnsi="Arial"/>
          <w:sz w:val="18"/>
          <w:szCs w:val="18"/>
          <w:b w:val="1"/>
          <w:bCs w:val="1"/>
          <w:color w:val="auto"/>
        </w:rPr>
      </w:pPr>
    </w:p>
    <w:p>
      <w:pPr>
        <w:ind w:left="660" w:right="10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quarter ended March 31, 2026, we issued a total of approximately 7.2 million shares of common stock pursuant to an “at-the-market” offering. After deducting the sales agent’s commissions and offering expenses, this resulted in net proceeds of approximately $12.3 million. As of March 31, 2026, we had approximately 93.4 million shares of common stock outstanding.</w:t>
      </w:r>
    </w:p>
    <w:p>
      <w:pPr>
        <w:spacing w:after="0" w:line="181"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color w:val="auto"/>
        </w:rPr>
        <w:t>We will hold a conference call to discuss first quarter results today, Wednesday, April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 at 9:00 AM ET. The toll-free dial-in number is 1-800-715-9871, access code number 2511724. There will be a recording available for 30 days. If you are interested in hearing the recording, please dial 1-800-770-2030. The replay pass-code is 2511724#.</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A presentation containing further detail regarding our quarterly results of operations has been posted under the Investor Relations section of our website at </w:t>
      </w:r>
      <w:r>
        <w:rPr>
          <w:rFonts w:ascii="Times New Roman" w:cs="Times New Roman" w:eastAsia="Times New Roman" w:hAnsi="Times New Roman"/>
          <w:sz w:val="18"/>
          <w:szCs w:val="18"/>
          <w:u w:val="single" w:color="auto"/>
          <w:color w:val="0000FF"/>
        </w:rPr>
        <w:t>www.oxfordsquarecapital.com</w:t>
      </w:r>
      <w:r>
        <w:rPr>
          <w:rFonts w:ascii="Times New Roman" w:cs="Times New Roman" w:eastAsia="Times New Roman" w:hAnsi="Times New Roman"/>
          <w:sz w:val="18"/>
          <w:szCs w:val="18"/>
          <w:color w:val="000000"/>
        </w:rPr>
        <w:t>.</w:t>
      </w:r>
    </w:p>
    <w:p>
      <w:pPr>
        <w:sectPr>
          <w:pgSz w:w="11900" w:h="16900" w:orient="portrait"/>
          <w:cols w:equalWidth="0" w:num="1">
            <w:col w:w="11240"/>
          </w:cols>
          <w:pgMar w:left="320" w:top="117" w:right="339" w:bottom="0" w:gutter="0" w:footer="0" w:header="0"/>
        </w:sectPr>
      </w:pPr>
    </w:p>
    <w:bookmarkStart w:id="4" w:name="page5"/>
    <w:bookmarkEnd w:id="4"/>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ind w:left="4120"/>
              <w:spacing w:after="0"/>
              <w:rPr>
                <w:sz w:val="20"/>
                <w:szCs w:val="20"/>
                <w:color w:val="auto"/>
              </w:rPr>
            </w:pPr>
            <w:r>
              <w:rPr>
                <w:rFonts w:ascii="Times New Roman" w:cs="Times New Roman" w:eastAsia="Times New Roman" w:hAnsi="Times New Roman"/>
                <w:sz w:val="18"/>
                <w:szCs w:val="18"/>
                <w:b w:val="1"/>
                <w:bCs w:val="1"/>
                <w:color w:val="auto"/>
              </w:rPr>
              <w:t>OXFORD SQUARE CAPITAL CORP.</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Non-affiliated/non-control investments (cost: $372,980,864 and $390,403,599,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235,372,463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251,731,345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(cost of $40,637,084 and $51,236,068, respectively)</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40,637,084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51,236,068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698,579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and distributions receivable</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2,002,161</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1,070,958</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278,857,481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306,739,111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 5.50% Unsecured Notes, net of deferred issuance costs of $901,010 and $996,075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79,598,990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79,503,925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7.75% Unsecured Notes, net of deferred issuance costs of $2,480,628 and $2,621,662 respectively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72,269,372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72,128,338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purchased not settled</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5,944,969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1,703,438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1,703,438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1,017,581</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Fee and Net Investment Income Incentive Fee payable to affiliate</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1,036,058</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155,592,439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161,334,309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93,449,336 and 86,060,964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934,494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860,610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535,621,842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523,040,484</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distributable earnings/(accumulated losses)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(413,291,294)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(378,496,292)</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net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123,265,042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145,404,802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278,857,481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306,739,111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6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64"/>
        </w:trPr>
        <w:tc>
          <w:tcPr>
            <w:tcW w:w="8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OXFORD SQUARE CAPITAL CORP.</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0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non-affiliated/non-control investments: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income – debt investments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4,318,750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4,826,404</w:t>
            </w:r>
          </w:p>
        </w:tc>
        <w:tc>
          <w:tcPr>
            <w:tcW w:w="0" w:type="dxa"/>
            <w:vAlign w:val="bottom"/>
          </w:tcPr>
          <w:p>
            <w:pPr>
              <w:spacing w:after="0"/>
              <w:rPr>
                <w:sz w:val="1"/>
                <w:szCs w:val="1"/>
                <w:color w:val="auto"/>
              </w:rPr>
            </w:pPr>
          </w:p>
        </w:tc>
      </w:tr>
      <w:tr>
        <w:trPr>
          <w:trHeight w:val="257"/>
        </w:trPr>
        <w:tc>
          <w:tcPr>
            <w:tcW w:w="86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income – debt investments – payment-in-kind (“PIK”)</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786,922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708,351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securitization vehicles and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3,224,198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3,956,053</w:t>
            </w: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612,808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670,242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investment income from non-affiliated/non-control investments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8,942,678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8,942,678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10,161,050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2,791,255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1,959,287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Fee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990,631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1,058,785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346,627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323,452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246,930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239,577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312,666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355,259</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104,778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120,816</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expenses before incentive fees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4,792,887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4,057,176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 Incentive Fees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incentive fees</w:t>
            </w:r>
          </w:p>
        </w:tc>
        <w:tc>
          <w:tcPr>
            <w:tcW w:w="1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4,792,887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4,149,791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6,103,874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6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CHANGE IN UNREALIZED APPRECIATION/(DEPRECIATION) AND REALIZED LOSSES 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 TRANSACTIONS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on investments: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Non-Affiliate/non-control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1,063,853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(1,366,018)</w:t>
            </w:r>
          </w:p>
        </w:tc>
        <w:tc>
          <w:tcPr>
            <w:tcW w:w="0" w:type="dxa"/>
            <w:vAlign w:val="bottom"/>
          </w:tcPr>
          <w:p>
            <w:pPr>
              <w:spacing w:after="0"/>
              <w:rPr>
                <w:sz w:val="1"/>
                <w:szCs w:val="1"/>
                <w:color w:val="auto"/>
              </w:rPr>
            </w:pPr>
          </w:p>
        </w:tc>
      </w:tr>
      <w:tr>
        <w:trPr>
          <w:trHeight w:val="229"/>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Affiliated investments</w:t>
            </w:r>
          </w:p>
        </w:tc>
        <w:tc>
          <w:tcPr>
            <w:tcW w:w="1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(700,878)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net change in unrealized appreciation/(depreciation) on investments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Non-affiliated/non-control investments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(30,738,465)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(12,158,495)</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net realized losses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(30,738,465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(12,158,495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and realized losses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(29,674,612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(25,524,821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(8,121,517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8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increase in net assets resulting from net investment income per common share (Basic and Diluted):</w:t>
            </w: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 per common share (Basic and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88,278,112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69,984,752</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per share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Change in prior period was made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Net investment income</w:t>
            </w:r>
            <w:r>
              <w:rPr>
                <w:rFonts w:ascii="Times New Roman" w:cs="Times New Roman" w:eastAsia="Times New Roman" w:hAnsi="Times New Roman"/>
                <w:sz w:val="29"/>
                <w:szCs w:val="29"/>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0"/>
        </w:trPr>
        <w:tc>
          <w:tcPr>
            <w:tcW w:w="848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Net realized and unrealized losses</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decrease in net asset value from operations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per share from net investment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Tax return of capital distributions</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shares issued</w:t>
            </w:r>
          </w:p>
        </w:tc>
        <w:tc>
          <w:tcPr>
            <w:tcW w:w="1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8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 share market value at beginning of period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56"/>
        </w:trPr>
        <w:tc>
          <w:tcPr>
            <w:tcW w:w="84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57"/>
        </w:trPr>
        <w:tc>
          <w:tcPr>
            <w:tcW w:w="84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93,449,336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71,187,166</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20" w:type="dxa"/>
            <w:vAlign w:val="bottom"/>
            <w:tcBorders>
              <w:top w:val="single" w:sz="8" w:color="auto"/>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end of period (000’s)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123,265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148,882</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net assets (000’s)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131,833</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153,493</w:t>
            </w:r>
          </w:p>
        </w:tc>
        <w:tc>
          <w:tcPr>
            <w:tcW w:w="0" w:type="dxa"/>
            <w:vAlign w:val="bottom"/>
          </w:tcPr>
          <w:p>
            <w:pPr>
              <w:spacing w:after="0"/>
              <w:rPr>
                <w:sz w:val="1"/>
                <w:szCs w:val="1"/>
                <w:color w:val="auto"/>
              </w:rPr>
            </w:pPr>
          </w:p>
        </w:tc>
      </w:tr>
      <w:tr>
        <w:trPr>
          <w:trHeight w:val="257"/>
        </w:trPr>
        <w:tc>
          <w:tcPr>
            <w:tcW w:w="84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Ratio of expenses to average net assets</w:t>
            </w:r>
            <w:r>
              <w:rPr>
                <w:rFonts w:ascii="Times New Roman" w:cs="Times New Roman" w:eastAsia="Times New Roman" w:hAnsi="Times New Roman"/>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56"/>
        </w:trPr>
        <w:tc>
          <w:tcPr>
            <w:tcW w:w="84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Ratio of expenses, excluding interest expense to average net assets</w:t>
            </w:r>
            <w:r>
              <w:rPr>
                <w:rFonts w:ascii="Times New Roman" w:cs="Times New Roman" w:eastAsia="Times New Roman" w:hAnsi="Times New Roman"/>
                <w:sz w:val="29"/>
                <w:szCs w:val="29"/>
                <w:color w:val="auto"/>
                <w:vertAlign w:val="superscript"/>
              </w:rPr>
              <w:t>(6)</w:t>
            </w:r>
          </w:p>
        </w:tc>
        <w:tc>
          <w:tcPr>
            <w:tcW w:w="1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57"/>
        </w:trPr>
        <w:tc>
          <w:tcPr>
            <w:tcW w:w="84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Ratio of net investment income to average net assets</w:t>
            </w:r>
            <w:r>
              <w:rPr>
                <w:rFonts w:ascii="Times New Roman" w:cs="Times New Roman" w:eastAsia="Times New Roman" w:hAnsi="Times New Roman"/>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39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Portfolio turnover rate</w:t>
            </w:r>
            <w:r>
              <w:rPr>
                <w:rFonts w:ascii="Times New Roman" w:cs="Times New Roman" w:eastAsia="Times New Roman" w:hAnsi="Times New Roman"/>
                <w:sz w:val="29"/>
                <w:szCs w:val="29"/>
                <w:color w:val="auto"/>
                <w:vertAlign w:val="superscript"/>
              </w:rPr>
              <w:t>(7)</w:t>
            </w: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 share net investment income for the period, based upon weighted average shares outstanding.</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losses include rounding adjustments to reconcile change in net asset value per share.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equals the increase or decrease of ending net asset value over beginning net asset value, plus distributions, divided by the beginning net asset value. Total return is not annualized.</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the year-to-date investment sales and debt repayments or year-to-date investment purchases over the average of the total investments at fair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Oxford Square Capital Corp.</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Oxford Square Capital Corp. is a publicly-traded business development company principally investing in syndicated bank loans and, to a lesser extent, debt and equity tranches of collateralized loan obligation (“CLO”) vehicles. CLO investments may also include warehouse facilities, which are financing structures intended to aggregate loans that may be used to form the basis of a CLO vehicle.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subject to the inherent uncertainties in predicting future results and conditions. Any statements that are not statements of historical fact (including statements containing the words “believes,” “plans,” “anticipates,” “expects,” “estimates” and similar expressions) should also be considered to be forward-looking statements. These statements are not guarantees of future performance, conditions or results and involve a number of risks and uncertainties. Certain factors could cause actual results and conditions to differ materially from those projected in these forward-looking statements. These factors are identified from time to time in our filings with the Securities and Exchange Commission. We undertake no obligation to update such statements to reflect subsequent events, except as may be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Rubin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203-983-5280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2026-04-29T06:36:11Z</dcterms:created>
  <dcterms:modified xsi:type="dcterms:W3CDTF">2026-04-29T06:36:11Z</dcterms:modified>
</cp:coreProperties>
</file>