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360" w:after="283"/>
        <w:ind w:left="0" w:right="0" w:hanging="0"/>
        <w:jc w:val="center"/>
        <w:rPr>
          <w:rFonts w:ascii="Times New Roman PS Std;serif" w:hAnsi="Times New Roman PS Std;serif"/>
          <w:b/>
          <w:i w:val="false"/>
          <w:caps w:val="false"/>
          <w:smallCaps w:val="false"/>
          <w:sz w:val="20"/>
        </w:rPr>
      </w:pPr>
      <w:bookmarkStart w:id="0" w:name="ea0297053-01_def14a.htm"/>
      <w:bookmarkStart w:id="1" w:name="ksea029705301_def14a"/>
      <w:bookmarkEnd w:id="0"/>
      <w:bookmarkEnd w:id="1"/>
      <w:r>
        <w:rPr>
          <w:rFonts w:ascii="Times New Roman PS Std;serif" w:hAnsi="Times New Roman PS Std;serif"/>
          <w:b/>
          <w:i w:val="false"/>
          <w:caps w:val="false"/>
          <w:smallCaps w:val="false"/>
          <w:sz w:val="20"/>
        </w:rPr>
        <w:t>UNITED STATES</w:t>
        <w:br/>
        <w:t>SECURITIES AND EXCHANGE COMMISSION</w:t>
        <w:br/>
        <w:t>Washington, D.C. 20549</w:t>
      </w:r>
    </w:p>
    <w:p>
      <w:pPr>
        <w:pStyle w:val="TextBody"/>
        <w:keepNext w:val="true"/>
        <w:pageBreakBefore w:val="false"/>
        <w:widowControl/>
        <w:pBdr/>
        <w:bidi w:val="0"/>
        <w:spacing w:before="120" w:after="120"/>
        <w:jc w:val="center"/>
        <w:rPr>
          <w:rFonts w:ascii="Times New Roman PS Std;serif" w:hAnsi="Times New Roman PS Std;serif"/>
          <w:b/>
          <w:i w:val="false"/>
          <w:caps/>
          <w:sz w:val="12"/>
        </w:rPr>
      </w:pPr>
      <w:r>
        <w:rPr>
          <w:rFonts w:ascii="Times New Roman PS Std;serif" w:hAnsi="Times New Roman PS Std;serif"/>
          <w:b/>
          <w:i w:val="false"/>
          <w:caps/>
          <w:sz w:val="12"/>
        </w:rPr>
        <w:t>_____________________________________</w:t>
      </w:r>
    </w:p>
    <w:p>
      <w:pPr>
        <w:pStyle w:val="TextBody"/>
        <w:keepNext w:val="true"/>
        <w:pageBreakBefore w:val="false"/>
        <w:widowControl/>
        <w:pBdr/>
        <w:bidi w:val="0"/>
        <w:spacing w:before="1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14A</w:t>
        <w:br/>
        <w:t>(RULE 14a-101)</w:t>
        <w:br/>
        <w:t>INFORMATION REQUIRED IN PROXY STATEMENT</w:t>
        <w:br/>
        <w:t>SCHEDULE 14A INFORMATION</w:t>
        <w:br/>
        <w:t>PROXY STATEMENT PURSUANT TO SECTION 14(a) OF THE</w:t>
        <w:br/>
        <w:t>SECURITIES EXCHANGE ACT OF 1934</w:t>
      </w:r>
    </w:p>
    <w:p>
      <w:pPr>
        <w:pStyle w:val="TextBody"/>
        <w:keepNext w:val="true"/>
        <w:pageBreakBefore w:val="false"/>
        <w:widowControl/>
        <w:pBdr/>
        <w:bidi w:val="0"/>
        <w:spacing w:before="120" w:after="120"/>
        <w:jc w:val="center"/>
        <w:rPr>
          <w:rFonts w:ascii="Times New Roman PS Std;serif" w:hAnsi="Times New Roman PS Std;serif"/>
          <w:b/>
          <w:i w:val="false"/>
          <w:caps/>
          <w:sz w:val="12"/>
        </w:rPr>
      </w:pPr>
      <w:r>
        <w:rPr>
          <w:rFonts w:ascii="Times New Roman PS Std;serif" w:hAnsi="Times New Roman PS Std;serif"/>
          <w:b/>
          <w:i w:val="false"/>
          <w:caps/>
          <w:sz w:val="12"/>
        </w:rPr>
        <w:t>_____________________________________</w:t>
      </w:r>
    </w:p>
    <w:tbl>
      <w:tblPr>
        <w:tblW w:w="4648" w:type="dxa"/>
        <w:jc w:val="left"/>
        <w:tblInd w:w="0" w:type="dxa"/>
        <w:tblLayout w:type="fixed"/>
        <w:tblCellMar>
          <w:top w:w="0" w:type="dxa"/>
          <w:left w:w="0" w:type="dxa"/>
          <w:bottom w:w="0" w:type="dxa"/>
          <w:right w:w="0" w:type="dxa"/>
        </w:tblCellMar>
      </w:tblPr>
      <w:tblGrid>
        <w:gridCol w:w="4141"/>
        <w:gridCol w:w="146"/>
        <w:gridCol w:w="361"/>
      </w:tblGrid>
      <w:tr>
        <w:trPr/>
        <w:tc>
          <w:tcPr>
            <w:tcW w:w="4141" w:type="dxa"/>
            <w:tcBorders/>
            <w:vAlign w:val="center"/>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by the Registrant</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keepNext w:val="false"/>
              <w:widowControl/>
              <w:pBdr/>
              <w:bidi w:val="0"/>
              <w:spacing w:before="160" w:after="283"/>
              <w:jc w:val="both"/>
              <w:rPr>
                <w:caps w:val="false"/>
                <w:smallCaps w:val="false"/>
              </w:rPr>
            </w:pPr>
            <w:r>
              <w:rPr>
                <w:caps w:val="false"/>
                <w:smallCaps w:val="false"/>
              </w:rPr>
              <w:t>☒</w:t>
            </w:r>
          </w:p>
        </w:tc>
      </w:tr>
      <w:tr>
        <w:trPr/>
        <w:tc>
          <w:tcPr>
            <w:tcW w:w="4141" w:type="dxa"/>
            <w:tcBorders/>
            <w:vAlign w:val="center"/>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by a Party other than the Registrant</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keepNext w:val="false"/>
              <w:widowControl/>
              <w:pBdr/>
              <w:bidi w:val="0"/>
              <w:spacing w:before="160" w:after="283"/>
              <w:jc w:val="both"/>
              <w:rPr>
                <w:caps w:val="false"/>
                <w:smallCaps w:val="false"/>
              </w:rPr>
            </w:pPr>
            <w:r>
              <w:rPr>
                <w:caps w:val="false"/>
                <w:smallCaps w:val="false"/>
              </w:rPr>
              <w:t>☐</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Check the appropriate box:</w:t>
      </w:r>
    </w:p>
    <w:tbl>
      <w:tblPr>
        <w:tblW w:w="9478" w:type="dxa"/>
        <w:jc w:val="left"/>
        <w:tblInd w:w="0" w:type="dxa"/>
        <w:tblLayout w:type="fixed"/>
        <w:tblCellMar>
          <w:top w:w="0" w:type="dxa"/>
          <w:left w:w="0" w:type="dxa"/>
          <w:bottom w:w="0" w:type="dxa"/>
          <w:right w:w="0" w:type="dxa"/>
        </w:tblCellMar>
      </w:tblPr>
      <w:tblGrid>
        <w:gridCol w:w="331"/>
        <w:gridCol w:w="146"/>
        <w:gridCol w:w="9001"/>
      </w:tblGrid>
      <w:tr>
        <w:trPr/>
        <w:tc>
          <w:tcPr>
            <w:tcW w:w="331" w:type="dxa"/>
            <w:tcBorders/>
            <w:vAlign w:val="center"/>
          </w:tcPr>
          <w:p>
            <w:pPr>
              <w:pStyle w:val="TableContents"/>
              <w:keepNext w:val="false"/>
              <w:widowControl/>
              <w:pBdr/>
              <w:bidi w:val="0"/>
              <w:spacing w:before="160" w:after="283"/>
              <w:jc w:val="both"/>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00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Preliminary Proxy Statement</w:t>
            </w:r>
          </w:p>
        </w:tc>
      </w:tr>
      <w:tr>
        <w:trPr/>
        <w:tc>
          <w:tcPr>
            <w:tcW w:w="331" w:type="dxa"/>
            <w:tcBorders/>
            <w:vAlign w:val="center"/>
          </w:tcPr>
          <w:p>
            <w:pPr>
              <w:pStyle w:val="TableContents"/>
              <w:keepNext w:val="false"/>
              <w:widowControl/>
              <w:pBdr/>
              <w:bidi w:val="0"/>
              <w:spacing w:before="160" w:after="283"/>
              <w:jc w:val="both"/>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001" w:type="dxa"/>
            <w:tcBorders/>
            <w:vAlign w:val="center"/>
          </w:tcPr>
          <w:p>
            <w:pPr>
              <w:pStyle w:val="TableContents"/>
              <w:keepNext w:val="false"/>
              <w:widowControl/>
              <w:pBdr/>
              <w:bidi w:val="0"/>
              <w:spacing w:before="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Confidential, for Use of the Commission Only (as permitted by Rule 14a-6(e)(2))</w:t>
            </w:r>
          </w:p>
        </w:tc>
      </w:tr>
      <w:tr>
        <w:trPr/>
        <w:tc>
          <w:tcPr>
            <w:tcW w:w="331" w:type="dxa"/>
            <w:tcBorders/>
            <w:vAlign w:val="center"/>
          </w:tcPr>
          <w:p>
            <w:pPr>
              <w:pStyle w:val="TableContents"/>
              <w:keepNext w:val="false"/>
              <w:widowControl/>
              <w:pBdr/>
              <w:bidi w:val="0"/>
              <w:spacing w:before="160" w:after="283"/>
              <w:jc w:val="both"/>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00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Definitive Proxy Statement</w:t>
            </w:r>
          </w:p>
        </w:tc>
      </w:tr>
      <w:tr>
        <w:trPr/>
        <w:tc>
          <w:tcPr>
            <w:tcW w:w="331" w:type="dxa"/>
            <w:tcBorders/>
            <w:vAlign w:val="center"/>
          </w:tcPr>
          <w:p>
            <w:pPr>
              <w:pStyle w:val="TableContents"/>
              <w:keepNext w:val="false"/>
              <w:widowControl/>
              <w:pBdr/>
              <w:bidi w:val="0"/>
              <w:spacing w:before="160" w:after="283"/>
              <w:jc w:val="both"/>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00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Definitive Additional Materials</w:t>
            </w:r>
          </w:p>
        </w:tc>
      </w:tr>
      <w:tr>
        <w:trPr/>
        <w:tc>
          <w:tcPr>
            <w:tcW w:w="331" w:type="dxa"/>
            <w:tcBorders/>
            <w:vAlign w:val="center"/>
          </w:tcPr>
          <w:p>
            <w:pPr>
              <w:pStyle w:val="TableContents"/>
              <w:keepNext w:val="false"/>
              <w:widowControl/>
              <w:pBdr/>
              <w:bidi w:val="0"/>
              <w:spacing w:before="160" w:after="283"/>
              <w:jc w:val="both"/>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00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Soliciting Material Pursuant to Rule 14a-12</w:t>
            </w:r>
          </w:p>
        </w:tc>
      </w:tr>
    </w:tbl>
    <w:p>
      <w:pPr>
        <w:pStyle w:val="TextBody"/>
        <w:keepNext w:val="true"/>
        <w:pageBreakBefore w:val="false"/>
        <w:widowControl/>
        <w:pBdr/>
        <w:bidi w:val="0"/>
        <w:spacing w:before="4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32"/>
        </w:rPr>
        <w:t>Oxford Square Capital Corp.</w:t>
      </w:r>
      <w:r>
        <w:rPr>
          <w:rFonts w:ascii="Times New Roman PS Std;serif" w:hAnsi="Times New Roman PS Std;serif"/>
          <w:b/>
          <w:i w:val="false"/>
          <w:caps w:val="false"/>
          <w:smallCaps w:val="false"/>
          <w:sz w:val="20"/>
        </w:rPr>
        <w:t xml:space="preserve"> </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of Registrant as Specified in Its Charter)</w:t>
      </w:r>
    </w:p>
    <w:p>
      <w:pPr>
        <w:pStyle w:val="TextBody"/>
        <w:keepNext w:val="false"/>
        <w:pageBreakBefore w:val="false"/>
        <w:widowControl/>
        <w:pBdr/>
        <w:bidi w:val="0"/>
        <w:spacing w:before="1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___________________________________________________________</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of Person(s) Filing Proxy Statement if other than the Registrant)</w:t>
      </w:r>
    </w:p>
    <w:p>
      <w:pPr>
        <w:pStyle w:val="TextBody"/>
        <w:keepNext w:val="false"/>
        <w:pageBreakBefore w:val="false"/>
        <w:widowControl/>
        <w:pBdr/>
        <w:bidi w:val="0"/>
        <w:spacing w:before="28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Filing Fee (Check the appropriate box):</w:t>
      </w:r>
    </w:p>
    <w:tbl>
      <w:tblPr>
        <w:tblW w:w="10205" w:type="dxa"/>
        <w:jc w:val="left"/>
        <w:tblInd w:w="0" w:type="dxa"/>
        <w:tblLayout w:type="fixed"/>
        <w:tblCellMar>
          <w:top w:w="0" w:type="dxa"/>
          <w:left w:w="0" w:type="dxa"/>
          <w:bottom w:w="0" w:type="dxa"/>
          <w:right w:w="0" w:type="dxa"/>
        </w:tblCellMar>
      </w:tblPr>
      <w:tblGrid>
        <w:gridCol w:w="331"/>
        <w:gridCol w:w="146"/>
        <w:gridCol w:w="9728"/>
      </w:tblGrid>
      <w:tr>
        <w:trPr/>
        <w:tc>
          <w:tcPr>
            <w:tcW w:w="331" w:type="dxa"/>
            <w:tcBorders/>
            <w:vAlign w:val="center"/>
          </w:tcPr>
          <w:p>
            <w:pPr>
              <w:pStyle w:val="TableContents"/>
              <w:keepNext w:val="false"/>
              <w:widowControl/>
              <w:pBdr/>
              <w:bidi w:val="0"/>
              <w:spacing w:before="160" w:after="283"/>
              <w:jc w:val="both"/>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728"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fee required.</w:t>
            </w:r>
          </w:p>
        </w:tc>
      </w:tr>
      <w:tr>
        <w:trPr/>
        <w:tc>
          <w:tcPr>
            <w:tcW w:w="331" w:type="dxa"/>
            <w:tcBorders/>
            <w:vAlign w:val="center"/>
          </w:tcPr>
          <w:p>
            <w:pPr>
              <w:pStyle w:val="TableContents"/>
              <w:keepNext w:val="false"/>
              <w:widowControl/>
              <w:pBdr/>
              <w:bidi w:val="0"/>
              <w:spacing w:before="160" w:after="283"/>
              <w:jc w:val="both"/>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728" w:type="dxa"/>
            <w:tcBorders/>
            <w:vAlign w:val="center"/>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paid previously with preliminary materials.</w:t>
            </w:r>
          </w:p>
        </w:tc>
      </w:tr>
      <w:tr>
        <w:trPr/>
        <w:tc>
          <w:tcPr>
            <w:tcW w:w="331" w:type="dxa"/>
            <w:tcBorders/>
            <w:vAlign w:val="center"/>
          </w:tcPr>
          <w:p>
            <w:pPr>
              <w:pStyle w:val="TableContents"/>
              <w:keepNext w:val="false"/>
              <w:widowControl/>
              <w:pBdr/>
              <w:bidi w:val="0"/>
              <w:spacing w:before="160" w:after="283"/>
              <w:jc w:val="both"/>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728" w:type="dxa"/>
            <w:tcBorders/>
            <w:vAlign w:val="center"/>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computed on table in exhibit required by Item 25(b) per Exchange Act Rules 14a-6(i)(1) and 0-11.</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br/>
        <w:t>8 Sound Shore Drive, Suite 255</w:t>
        <w:br/>
        <w:t>Greenwich, Connecticut 06830</w:t>
      </w:r>
    </w:p>
    <w:p>
      <w:pPr>
        <w:pStyle w:val="TextBody"/>
        <w:keepNext w:val="false"/>
        <w:pageBreakBefore w:val="false"/>
        <w:widowControl/>
        <w:pBdr/>
        <w:bidi w:val="0"/>
        <w:spacing w:before="160" w:after="283"/>
        <w:ind w:left="0" w:right="0" w:firstLine="48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8, 2026</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Dear Stockholder: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are cordially invited to attend the 2026 Annual Meeting (the “Annual Meeting”) of Stockholders of Oxford Square Capital Corp. (the “Company,” “OXSQ,” “we,” “us” or “our”) to be held on August 20, 2026 at 9:00 a.m., Eastern Time, in the second floor conference room of the Company’s corporate headquarters located at 8 Sound Shore Drive, Greenwich, Connecticut 06830. Stockholders of record of the Company at the close of business on June 30, 2026 are entitled to notice of, and to vote at, the Annual Meeting or any adjournment or postponement thereof. Details of the business to be conducted at the Annual Meeting are provided in the accompanying Notice of Annual Meeting and 2026 Proxy Statement.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very important that your shares be represented at the Annual Meeting. Whether or not you plan to attend, we hope you will vote as soon as possible. If you are unable to participate at the Annual Meeting, we urge you to follow the instructions on the Notice of Internet Availability of Proxy Materials to vote your proxy on the Internet. We encourage you to vote via the Internet, as it saves us significant time and processing costs. However, on the Notice of Internet Availability of Proxy Materials, you will also find instructions on how to request a hard copy of the proxy statement and proxy card free of charge and you may vote your proxy by returning your proxy card to us after you request the hard copy materials. Returning the proxy or voting by Internet or telephone does not deprive you of your right to attend the Annual Meeting and to vote your shares in person.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reserve the right to reconsider the date, time, and/or means of convening the Annual Meeting, including holding the Annual Meeting by means of remote communications. If we take this step, we will announce the decision to do so in advance, and details on how to participate in the meeting will be issued by press release and filed with the Securities and Exchange Commission as additional proxy material. We urge you to retain your control or proxy voting number after you vote in case changes are made to the meeting format and such information is again required.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look forward to seeing you at the Annual Meeting. Your vote and participation, no matter how many or how few shares you own, are very important to us.</w:t>
      </w:r>
    </w:p>
    <w:tbl>
      <w:tblPr>
        <w:tblW w:w="2693" w:type="dxa"/>
        <w:jc w:val="left"/>
        <w:tblInd w:w="0" w:type="dxa"/>
        <w:tblLayout w:type="fixed"/>
        <w:tblCellMar>
          <w:top w:w="0" w:type="dxa"/>
          <w:left w:w="0" w:type="dxa"/>
          <w:bottom w:w="0" w:type="dxa"/>
          <w:right w:w="0" w:type="dxa"/>
        </w:tblCellMar>
      </w:tblPr>
      <w:tblGrid>
        <w:gridCol w:w="161"/>
        <w:gridCol w:w="146"/>
        <w:gridCol w:w="238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386"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Sincerely yours,</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86"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86"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Jonathan H. Cohen</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86"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br/>
        <w:t>8 Sound Shore Drive, Suite 255</w:t>
        <w:br/>
        <w:t>Greenwich, Connecticut 06830</w:t>
        <w:br/>
        <w:t>(203) 983-5275</w:t>
      </w:r>
    </w:p>
    <w:p>
      <w:pPr>
        <w:pStyle w:val="TextBody"/>
        <w:keepNext w:val="true"/>
        <w:pageBreakBefore w:val="false"/>
        <w:widowControl/>
        <w:pBdr/>
        <w:bidi w:val="0"/>
        <w:spacing w:before="0" w:after="283"/>
        <w:jc w:val="center"/>
        <w:rPr>
          <w:rFonts w:ascii="Times New Roman PS Std;serif" w:hAnsi="Times New Roman PS Std;serif"/>
          <w:b/>
          <w:i w:val="false"/>
          <w:caps/>
          <w:sz w:val="12"/>
        </w:rPr>
      </w:pPr>
      <w:r>
        <w:rPr>
          <w:rFonts w:ascii="Times New Roman PS Std;serif" w:hAnsi="Times New Roman PS Std;serif"/>
          <w:b/>
          <w:i w:val="false"/>
          <w:caps/>
          <w:sz w:val="12"/>
        </w:rPr>
        <w:t>_____________________________________</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OF 2026 ANNUAL MEETING OF STOCKHOLDERS</w:t>
      </w:r>
    </w:p>
    <w:p>
      <w:pPr>
        <w:pStyle w:val="TextBody"/>
        <w:keepNext w:val="true"/>
        <w:pageBreakBefore w:val="false"/>
        <w:widowControl/>
        <w:pBdr/>
        <w:bidi w:val="0"/>
        <w:spacing w:before="0" w:after="283"/>
        <w:jc w:val="center"/>
        <w:rPr>
          <w:rFonts w:ascii="Times New Roman PS Std;serif" w:hAnsi="Times New Roman PS Std;serif"/>
          <w:b/>
          <w:i w:val="false"/>
          <w:caps/>
          <w:sz w:val="12"/>
        </w:rPr>
      </w:pPr>
      <w:r>
        <w:rPr>
          <w:rFonts w:ascii="Times New Roman PS Std;serif" w:hAnsi="Times New Roman PS Std;serif"/>
          <w:b/>
          <w:i w:val="false"/>
          <w:caps/>
          <w:sz w:val="12"/>
        </w:rPr>
        <w:t>_____________________________________</w:t>
      </w:r>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 be held in the second floor conference room</w:t>
        <w:br/>
        <w:t>of the Company’s corporate headquarters, located at</w:t>
        <w:br/>
        <w:t>8 Sound Shore Drive,</w:t>
        <w:br/>
        <w:t>Greenwich, Connecticut 06830</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August 20, 2026, at 9:00 a.m., Eastern Time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Stockholders of Oxford Square Capital Corp.: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2026 Annual Meeting (the “Annual Meeting”) of Stockholders of Oxford Square Capital Corp. (the “Company,” “OXSQ,” “we,” “us” or “our”) will be held in the second floor conference room of the Company’s corporate headquarters located at 8 Sound Shore Drive, Greenwich, Connecticut 06830, on August 20, 2026, at 9:00 a.m., Eastern Time, for the following purposes: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To vote on the election of two directors of the Company to each serve for a term of three years, or until his respective successor is duly elected and qualified;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To vote on a proposal to ratify the selection of Ernst &amp; Young LLP to serve as the Company’s independent registered public accounting firm for the Company for the fiscal year ending December 31, 2026;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To transact such other business as may properly come before the Annual Meeting and any adjournments or postponements.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OXSQ’S BOARD OF DIRECTORS, INCLUDING ALL THE INDEPENDENT DIRECTORS (AS DEFINED BELOW), UNANIMOUSLY RECOMMENDS THAT YOU VOTE: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FOR” THE COMPANY’S DIRECTOR NOMINEES DESCRIBED IN THE ACCOMPANYING PROXY STATEMENT,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FOR” THE PROPOSAL TO RATIFY THE APPOINTMENT OF ERNST &amp; YOUNG LLP AS THE INDEPENDENT REGISTERED PUBLIC ACCOUNTING FIRM FOR THE COMPANY FOR THE FISCAL YEAR ENDING DECEMBER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31, 2026.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about the nominees of the Board of Directors for election as directors of the Company is provided in the accompanying proxy statement.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information applicable to the Annual Meeting may be found in the proxy statement and accompanying proxy card: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date, time and location of the meeting;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list of the matters intended to be acted on and our recommendations regarding those matters;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control/identification numbers that you need to access your proxy card;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Information about attending the meeting and voting in person.</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You have the right to receive notice of and to vote at the Annual Meeting if you were a stockholder of record at the close of business on June 30, 2026. We are furnishing the proxy statement and proxy card to our stockholders on the Internet, available at </w:t>
      </w:r>
      <w:r>
        <w:rPr>
          <w:rFonts w:ascii="Times New Roman PS Std;serif" w:hAnsi="Times New Roman PS Std;serif"/>
          <w:b w:val="false"/>
          <w:i/>
          <w:caps w:val="false"/>
          <w:smallCaps w:val="false"/>
          <w:sz w:val="20"/>
        </w:rPr>
        <w:t>https://www.proxy-direct.com/oxf-35172</w:t>
      </w:r>
      <w:r>
        <w:rPr>
          <w:rFonts w:ascii="Times New Roman PS Std;serif" w:hAnsi="Times New Roman PS Std;serif"/>
          <w:b w:val="false"/>
          <w:i w:val="false"/>
          <w:caps w:val="false"/>
          <w:smallCaps w:val="false"/>
          <w:sz w:val="20"/>
        </w:rPr>
        <w:t>, rather than mailing printed copies of those materials to each stockholder. If you received a Notice of Internet Availability of Proxy Materials by mail, you will not receive a printed copy of the proxy statement and proxy card unless you request them. Instead, the Notice of Internet Availability of Proxy Materials will instruct you as to how you may access and review the proxy statement, and vote your proxy, on the internet. You may request hard copy proxy materials at no charge to you by following the instructions provided in the Notice of Internet Availability of Proxy Materials.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Whether or not you expect to be present in person at the Annual Meeting, and whatever the number of shares you own, you are requested to vote in accordance with the voting instructions in the Notice of Internet Availability of Proxy Materials, or by requesting hard copy proxy materials from us and returning a proxy card so that you may be represented at the Annual Meeting. Please note, however, that if you wish to vote in person at the meeting and your shares are held of record by a broker, bank, trustee, or nominee, you must obtain a “legal” proxy issued in your name from that record holder. In the event there are not sufficient votes for a quorum or to approve or ratify any of the foregoing proposals at the time of the Annual Meeting, the Annual Meeting may be adjourned in order to permit further solicitation of proxies by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reserve the right to reconsider the date, time, and/or means of convening the Annual Meeting, including holding the Annual Meeting by means of remote communications. If we take this step, we will announce the decision to do so in advance, and details on how to participate in the meeting will be issued by press release and filed with the Securities and Exchange Commission as additional proxy material. We urge you to retain your control or proxy voting number after you vote in case changes are made to the meeting format and such information is again required.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not aware of any other business, or any other nominees for election as directors, that may properly be brought before the Annual Meeting. Thank you for your continued support of Oxford Square Capital Corp.</w:t>
      </w:r>
    </w:p>
    <w:tbl>
      <w:tblPr>
        <w:tblW w:w="3893" w:type="dxa"/>
        <w:jc w:val="left"/>
        <w:tblInd w:w="0" w:type="dxa"/>
        <w:tblLayout w:type="fixed"/>
        <w:tblCellMar>
          <w:top w:w="0" w:type="dxa"/>
          <w:left w:w="0" w:type="dxa"/>
          <w:bottom w:w="0" w:type="dxa"/>
          <w:right w:w="0" w:type="dxa"/>
        </w:tblCellMar>
      </w:tblPr>
      <w:tblGrid>
        <w:gridCol w:w="161"/>
        <w:gridCol w:w="146"/>
        <w:gridCol w:w="358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586"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By Order of the Board of Directors, </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86"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86"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Steven P. Novak</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86"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Chairman</w:t>
            </w:r>
          </w:p>
        </w:tc>
      </w:tr>
    </w:tbl>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Greenwich, Connecticut</w:t>
        <w:br/>
        <w:t>July 8,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This is a very important meeting. To ensure proper representation at the Annual Meeting, please follow the instructions on the Notice of Internet Availability of Proxy Materials to vote your proxy via the Internet or request, complete, sign, date and return a proxy card. Even if you vote your shares prior to the Annual Meeting, if you are a record holder of shares, or a beneficial holder who obtains “legal” proxy from your broker, bank, trustee, or nominee, you still may attend the Annual Meeting and vote your shares in person.</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 w:name="TOC001"/>
      <w:bookmarkEnd w:id="2"/>
      <w:r>
        <w:rPr>
          <w:rFonts w:ascii="Times New Roman PS Std;serif" w:hAnsi="Times New Roman PS Std;serif"/>
          <w:b/>
          <w:i w:val="false"/>
          <w:caps w:val="false"/>
          <w:smallCaps w:val="false"/>
          <w:sz w:val="20"/>
        </w:rPr>
        <w:t>TABLE OF CONTENTS</w:t>
      </w:r>
    </w:p>
    <w:tbl>
      <w:tblPr>
        <w:tblW w:w="10033" w:type="dxa"/>
        <w:jc w:val="left"/>
        <w:tblInd w:w="0" w:type="dxa"/>
        <w:tblLayout w:type="fixed"/>
        <w:tblCellMar>
          <w:top w:w="0" w:type="dxa"/>
          <w:left w:w="0" w:type="dxa"/>
          <w:bottom w:w="0" w:type="dxa"/>
          <w:right w:w="0" w:type="dxa"/>
        </w:tblCellMar>
      </w:tblPr>
      <w:tblGrid>
        <w:gridCol w:w="9166"/>
        <w:gridCol w:w="146"/>
        <w:gridCol w:w="721"/>
      </w:tblGrid>
      <w:tr>
        <w:trPr/>
        <w:tc>
          <w:tcPr>
            <w:tcW w:w="9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166" w:type="dxa"/>
            <w:tcBorders/>
            <w:shd w:fill="CCEEFF" w:val="clear"/>
            <w:vAlign w:val="center"/>
          </w:tcPr>
          <w:p>
            <w:pPr>
              <w:pStyle w:val="TableContents"/>
              <w:keepNext w:val="false"/>
              <w:widowControl/>
              <w:pBdr/>
              <w:bidi w:val="0"/>
              <w:spacing w:before="0" w:after="283"/>
              <w:ind w:left="200" w:right="0" w:hanging="200"/>
              <w:jc w:val="left"/>
              <w:rPr/>
            </w:pPr>
            <w:hyperlink w:anchor="T991">
              <w:r>
                <w:rPr>
                  <w:rStyle w:val="InternetLink"/>
                  <w:rFonts w:ascii="Times New Roman PS Std;serif" w:hAnsi="Times New Roman PS Std;serif"/>
                  <w:b w:val="false"/>
                  <w:i w:val="false"/>
                  <w:caps w:val="false"/>
                  <w:smallCaps w:val="false"/>
                  <w:sz w:val="20"/>
                </w:rPr>
                <w:t xml:space="preserve">PROXY STATEMENT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9166" w:type="dxa"/>
            <w:tcBorders/>
            <w:vAlign w:val="center"/>
          </w:tcPr>
          <w:p>
            <w:pPr>
              <w:pStyle w:val="TableContents"/>
              <w:keepNext w:val="false"/>
              <w:widowControl/>
              <w:pBdr/>
              <w:bidi w:val="0"/>
              <w:spacing w:before="0" w:after="283"/>
              <w:ind w:left="200" w:right="0" w:hanging="200"/>
              <w:jc w:val="left"/>
              <w:rPr/>
            </w:pPr>
            <w:hyperlink w:anchor="T992">
              <w:r>
                <w:rPr>
                  <w:rStyle w:val="InternetLink"/>
                  <w:rFonts w:ascii="Times New Roman PS Std;serif" w:hAnsi="Times New Roman PS Std;serif"/>
                  <w:b w:val="false"/>
                  <w:i w:val="false"/>
                  <w:caps w:val="false"/>
                  <w:smallCaps w:val="false"/>
                  <w:sz w:val="20"/>
                </w:rPr>
                <w:t xml:space="preserve">General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9166" w:type="dxa"/>
            <w:tcBorders/>
            <w:shd w:fill="CCEEFF" w:val="clear"/>
            <w:vAlign w:val="center"/>
          </w:tcPr>
          <w:p>
            <w:pPr>
              <w:pStyle w:val="TableContents"/>
              <w:keepNext w:val="false"/>
              <w:widowControl/>
              <w:pBdr/>
              <w:bidi w:val="0"/>
              <w:spacing w:before="0" w:after="283"/>
              <w:ind w:left="200" w:right="0" w:hanging="200"/>
              <w:jc w:val="left"/>
              <w:rPr/>
            </w:pPr>
            <w:hyperlink w:anchor="T993">
              <w:r>
                <w:rPr>
                  <w:rStyle w:val="InternetLink"/>
                  <w:rFonts w:ascii="Times New Roman PS Std;serif" w:hAnsi="Times New Roman PS Std;serif"/>
                  <w:b w:val="false"/>
                  <w:i w:val="false"/>
                  <w:caps w:val="false"/>
                  <w:smallCaps w:val="false"/>
                  <w:sz w:val="20"/>
                </w:rPr>
                <w:t xml:space="preserve">Annual Meeting Information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9166" w:type="dxa"/>
            <w:tcBorders/>
            <w:vAlign w:val="center"/>
          </w:tcPr>
          <w:p>
            <w:pPr>
              <w:pStyle w:val="TableContents"/>
              <w:keepNext w:val="false"/>
              <w:widowControl/>
              <w:pBdr/>
              <w:bidi w:val="0"/>
              <w:spacing w:before="0" w:after="283"/>
              <w:ind w:left="200" w:right="0" w:hanging="200"/>
              <w:jc w:val="left"/>
              <w:rPr/>
            </w:pPr>
            <w:hyperlink w:anchor="T994">
              <w:r>
                <w:rPr>
                  <w:rStyle w:val="InternetLink"/>
                  <w:rFonts w:ascii="Times New Roman PS Std;serif" w:hAnsi="Times New Roman PS Std;serif"/>
                  <w:b w:val="false"/>
                  <w:i w:val="false"/>
                  <w:caps w:val="false"/>
                  <w:smallCaps w:val="false"/>
                  <w:sz w:val="20"/>
                </w:rPr>
                <w:t xml:space="preserve">Date and Location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9166" w:type="dxa"/>
            <w:tcBorders/>
            <w:shd w:fill="CCEEFF" w:val="clear"/>
            <w:vAlign w:val="center"/>
          </w:tcPr>
          <w:p>
            <w:pPr>
              <w:pStyle w:val="TableContents"/>
              <w:keepNext w:val="false"/>
              <w:widowControl/>
              <w:pBdr/>
              <w:bidi w:val="0"/>
              <w:spacing w:before="0" w:after="283"/>
              <w:ind w:left="200" w:right="0" w:hanging="200"/>
              <w:jc w:val="left"/>
              <w:rPr/>
            </w:pPr>
            <w:hyperlink w:anchor="T995">
              <w:r>
                <w:rPr>
                  <w:rStyle w:val="InternetLink"/>
                  <w:rFonts w:ascii="Times New Roman PS Std;serif" w:hAnsi="Times New Roman PS Std;serif"/>
                  <w:b w:val="false"/>
                  <w:i w:val="false"/>
                  <w:caps w:val="false"/>
                  <w:smallCaps w:val="false"/>
                  <w:sz w:val="20"/>
                </w:rPr>
                <w:t xml:space="preserve">Attendance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9166" w:type="dxa"/>
            <w:tcBorders/>
            <w:vAlign w:val="center"/>
          </w:tcPr>
          <w:p>
            <w:pPr>
              <w:pStyle w:val="TableContents"/>
              <w:keepNext w:val="false"/>
              <w:widowControl/>
              <w:pBdr/>
              <w:bidi w:val="0"/>
              <w:spacing w:before="0" w:after="283"/>
              <w:ind w:left="200" w:right="0" w:hanging="200"/>
              <w:jc w:val="left"/>
              <w:rPr/>
            </w:pPr>
            <w:hyperlink w:anchor="T996">
              <w:r>
                <w:rPr>
                  <w:rStyle w:val="InternetLink"/>
                  <w:rFonts w:ascii="Times New Roman PS Std;serif" w:hAnsi="Times New Roman PS Std;serif"/>
                  <w:b w:val="false"/>
                  <w:i w:val="false"/>
                  <w:caps w:val="false"/>
                  <w:smallCaps w:val="false"/>
                  <w:sz w:val="20"/>
                </w:rPr>
                <w:t xml:space="preserve">Availability of Proxy and Annual Meeting Materials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r>
      <w:tr>
        <w:trPr/>
        <w:tc>
          <w:tcPr>
            <w:tcW w:w="9166" w:type="dxa"/>
            <w:tcBorders/>
            <w:shd w:fill="CCEEFF" w:val="clear"/>
            <w:vAlign w:val="center"/>
          </w:tcPr>
          <w:p>
            <w:pPr>
              <w:pStyle w:val="TableContents"/>
              <w:keepNext w:val="false"/>
              <w:widowControl/>
              <w:pBdr/>
              <w:bidi w:val="0"/>
              <w:spacing w:before="0" w:after="283"/>
              <w:ind w:left="200" w:right="0" w:hanging="200"/>
              <w:jc w:val="left"/>
              <w:rPr/>
            </w:pPr>
            <w:hyperlink w:anchor="T997">
              <w:r>
                <w:rPr>
                  <w:rStyle w:val="InternetLink"/>
                  <w:rFonts w:ascii="Times New Roman PS Std;serif" w:hAnsi="Times New Roman PS Std;serif"/>
                  <w:b w:val="false"/>
                  <w:i w:val="false"/>
                  <w:caps w:val="false"/>
                  <w:smallCaps w:val="false"/>
                  <w:sz w:val="20"/>
                </w:rPr>
                <w:t xml:space="preserve">Purpose of Annual Meeting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r>
      <w:tr>
        <w:trPr/>
        <w:tc>
          <w:tcPr>
            <w:tcW w:w="9166" w:type="dxa"/>
            <w:tcBorders/>
            <w:vAlign w:val="center"/>
          </w:tcPr>
          <w:p>
            <w:pPr>
              <w:pStyle w:val="TableContents"/>
              <w:keepNext w:val="false"/>
              <w:widowControl/>
              <w:pBdr/>
              <w:bidi w:val="0"/>
              <w:spacing w:before="0" w:after="283"/>
              <w:ind w:left="200" w:right="0" w:hanging="200"/>
              <w:jc w:val="left"/>
              <w:rPr/>
            </w:pPr>
            <w:hyperlink w:anchor="T998">
              <w:r>
                <w:rPr>
                  <w:rStyle w:val="InternetLink"/>
                  <w:rFonts w:ascii="Times New Roman PS Std;serif" w:hAnsi="Times New Roman PS Std;serif"/>
                  <w:b w:val="false"/>
                  <w:i w:val="false"/>
                  <w:caps w:val="false"/>
                  <w:smallCaps w:val="false"/>
                  <w:sz w:val="20"/>
                </w:rPr>
                <w:t xml:space="preserve">Voting Information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r>
      <w:tr>
        <w:trPr/>
        <w:tc>
          <w:tcPr>
            <w:tcW w:w="9166" w:type="dxa"/>
            <w:tcBorders/>
            <w:shd w:fill="CCEEFF" w:val="clear"/>
            <w:vAlign w:val="center"/>
          </w:tcPr>
          <w:p>
            <w:pPr>
              <w:pStyle w:val="TableContents"/>
              <w:keepNext w:val="false"/>
              <w:widowControl/>
              <w:pBdr/>
              <w:bidi w:val="0"/>
              <w:spacing w:before="0" w:after="283"/>
              <w:ind w:left="200" w:right="0" w:hanging="200"/>
              <w:jc w:val="left"/>
              <w:rPr/>
            </w:pPr>
            <w:hyperlink w:anchor="T999">
              <w:r>
                <w:rPr>
                  <w:rStyle w:val="InternetLink"/>
                  <w:rFonts w:ascii="Times New Roman PS Std;serif" w:hAnsi="Times New Roman PS Std;serif"/>
                  <w:b w:val="false"/>
                  <w:i w:val="false"/>
                  <w:caps w:val="false"/>
                  <w:smallCaps w:val="false"/>
                  <w:sz w:val="20"/>
                </w:rPr>
                <w:t xml:space="preserve">General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r>
      <w:tr>
        <w:trPr/>
        <w:tc>
          <w:tcPr>
            <w:tcW w:w="9166" w:type="dxa"/>
            <w:tcBorders/>
            <w:vAlign w:val="center"/>
          </w:tcPr>
          <w:p>
            <w:pPr>
              <w:pStyle w:val="TableContents"/>
              <w:keepNext w:val="false"/>
              <w:widowControl/>
              <w:pBdr/>
              <w:bidi w:val="0"/>
              <w:spacing w:before="0" w:after="283"/>
              <w:ind w:left="200" w:right="0" w:hanging="200"/>
              <w:jc w:val="left"/>
              <w:rPr/>
            </w:pPr>
            <w:hyperlink w:anchor="T9910">
              <w:r>
                <w:rPr>
                  <w:rStyle w:val="InternetLink"/>
                  <w:rFonts w:ascii="Times New Roman PS Std;serif" w:hAnsi="Times New Roman PS Std;serif"/>
                  <w:b w:val="false"/>
                  <w:i w:val="false"/>
                  <w:caps w:val="false"/>
                  <w:smallCaps w:val="false"/>
                  <w:sz w:val="20"/>
                </w:rPr>
                <w:t xml:space="preserve">Record Date and Voting Securities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r>
      <w:tr>
        <w:trPr/>
        <w:tc>
          <w:tcPr>
            <w:tcW w:w="9166" w:type="dxa"/>
            <w:tcBorders/>
            <w:shd w:fill="CCEEFF" w:val="clear"/>
            <w:vAlign w:val="center"/>
          </w:tcPr>
          <w:p>
            <w:pPr>
              <w:pStyle w:val="TableContents"/>
              <w:keepNext w:val="false"/>
              <w:widowControl/>
              <w:pBdr/>
              <w:bidi w:val="0"/>
              <w:spacing w:before="0" w:after="283"/>
              <w:ind w:left="200" w:right="0" w:hanging="200"/>
              <w:jc w:val="left"/>
              <w:rPr/>
            </w:pPr>
            <w:hyperlink w:anchor="T9911">
              <w:r>
                <w:rPr>
                  <w:rStyle w:val="InternetLink"/>
                  <w:rFonts w:ascii="Times New Roman PS Std;serif" w:hAnsi="Times New Roman PS Std;serif"/>
                  <w:b w:val="false"/>
                  <w:i w:val="false"/>
                  <w:caps w:val="false"/>
                  <w:smallCaps w:val="false"/>
                  <w:sz w:val="20"/>
                </w:rPr>
                <w:t xml:space="preserve">Quorum Required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r>
      <w:tr>
        <w:trPr/>
        <w:tc>
          <w:tcPr>
            <w:tcW w:w="9166" w:type="dxa"/>
            <w:tcBorders/>
            <w:vAlign w:val="center"/>
          </w:tcPr>
          <w:p>
            <w:pPr>
              <w:pStyle w:val="TableContents"/>
              <w:keepNext w:val="false"/>
              <w:widowControl/>
              <w:pBdr/>
              <w:bidi w:val="0"/>
              <w:spacing w:before="0" w:after="283"/>
              <w:ind w:left="200" w:right="0" w:hanging="200"/>
              <w:jc w:val="left"/>
              <w:rPr/>
            </w:pPr>
            <w:hyperlink w:anchor="T99502">
              <w:r>
                <w:rPr>
                  <w:rStyle w:val="InternetLink"/>
                  <w:rFonts w:ascii="Times New Roman PS Std;serif" w:hAnsi="Times New Roman PS Std;serif"/>
                  <w:b w:val="false"/>
                  <w:i w:val="false"/>
                  <w:caps w:val="false"/>
                  <w:smallCaps w:val="false"/>
                  <w:sz w:val="20"/>
                </w:rPr>
                <w:t xml:space="preserve">Voting Your Shares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r>
      <w:tr>
        <w:trPr/>
        <w:tc>
          <w:tcPr>
            <w:tcW w:w="9166" w:type="dxa"/>
            <w:tcBorders/>
            <w:shd w:fill="CCEEFF" w:val="clear"/>
            <w:vAlign w:val="center"/>
          </w:tcPr>
          <w:p>
            <w:pPr>
              <w:pStyle w:val="TableContents"/>
              <w:keepNext w:val="false"/>
              <w:widowControl/>
              <w:pBdr/>
              <w:bidi w:val="0"/>
              <w:spacing w:before="0" w:after="283"/>
              <w:ind w:left="200" w:right="0" w:hanging="200"/>
              <w:jc w:val="left"/>
              <w:rPr/>
            </w:pPr>
            <w:hyperlink w:anchor="T9912">
              <w:r>
                <w:rPr>
                  <w:rStyle w:val="InternetLink"/>
                  <w:rFonts w:ascii="Times New Roman PS Std;serif" w:hAnsi="Times New Roman PS Std;serif"/>
                  <w:b w:val="false"/>
                  <w:i w:val="false"/>
                  <w:caps w:val="false"/>
                  <w:smallCaps w:val="false"/>
                  <w:sz w:val="20"/>
                </w:rPr>
                <w:t xml:space="preserve">Submitting Voting Instructions for Shares Held Through a Broker, Bank, Trustee, or Nominee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r>
      <w:tr>
        <w:trPr/>
        <w:tc>
          <w:tcPr>
            <w:tcW w:w="9166" w:type="dxa"/>
            <w:tcBorders/>
            <w:vAlign w:val="center"/>
          </w:tcPr>
          <w:p>
            <w:pPr>
              <w:pStyle w:val="TableContents"/>
              <w:keepNext w:val="false"/>
              <w:widowControl/>
              <w:pBdr/>
              <w:bidi w:val="0"/>
              <w:spacing w:before="0" w:after="283"/>
              <w:ind w:left="200" w:right="0" w:hanging="200"/>
              <w:jc w:val="left"/>
              <w:rPr/>
            </w:pPr>
            <w:hyperlink w:anchor="T9913">
              <w:r>
                <w:rPr>
                  <w:rStyle w:val="InternetLink"/>
                  <w:rFonts w:ascii="Times New Roman PS Std;serif" w:hAnsi="Times New Roman PS Std;serif"/>
                  <w:b w:val="false"/>
                  <w:i w:val="false"/>
                  <w:caps w:val="false"/>
                  <w:smallCaps w:val="false"/>
                  <w:sz w:val="20"/>
                </w:rPr>
                <w:t xml:space="preserve">Discretionary Voting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r>
      <w:tr>
        <w:trPr/>
        <w:tc>
          <w:tcPr>
            <w:tcW w:w="9166" w:type="dxa"/>
            <w:tcBorders/>
            <w:shd w:fill="CCEEFF" w:val="clear"/>
            <w:vAlign w:val="center"/>
          </w:tcPr>
          <w:p>
            <w:pPr>
              <w:pStyle w:val="TableContents"/>
              <w:keepNext w:val="false"/>
              <w:widowControl/>
              <w:pBdr/>
              <w:bidi w:val="0"/>
              <w:spacing w:before="0" w:after="283"/>
              <w:ind w:left="200" w:right="0" w:hanging="200"/>
              <w:jc w:val="left"/>
              <w:rPr/>
            </w:pPr>
            <w:hyperlink w:anchor="T9914">
              <w:r>
                <w:rPr>
                  <w:rStyle w:val="InternetLink"/>
                  <w:rFonts w:ascii="Times New Roman PS Std;serif" w:hAnsi="Times New Roman PS Std;serif"/>
                  <w:b w:val="false"/>
                  <w:i w:val="false"/>
                  <w:caps w:val="false"/>
                  <w:smallCaps w:val="false"/>
                  <w:sz w:val="20"/>
                </w:rPr>
                <w:t xml:space="preserve">Authorizing a Proxy for Shares Held in Your Name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r>
      <w:tr>
        <w:trPr/>
        <w:tc>
          <w:tcPr>
            <w:tcW w:w="9166" w:type="dxa"/>
            <w:tcBorders/>
            <w:vAlign w:val="center"/>
          </w:tcPr>
          <w:p>
            <w:pPr>
              <w:pStyle w:val="TableContents"/>
              <w:keepNext w:val="false"/>
              <w:widowControl/>
              <w:pBdr/>
              <w:bidi w:val="0"/>
              <w:spacing w:before="0" w:after="283"/>
              <w:ind w:left="200" w:right="0" w:hanging="200"/>
              <w:jc w:val="left"/>
              <w:rPr/>
            </w:pPr>
            <w:hyperlink w:anchor="T9915">
              <w:r>
                <w:rPr>
                  <w:rStyle w:val="InternetLink"/>
                  <w:rFonts w:ascii="Times New Roman PS Std;serif" w:hAnsi="Times New Roman PS Std;serif"/>
                  <w:b w:val="false"/>
                  <w:i w:val="false"/>
                  <w:caps w:val="false"/>
                  <w:smallCaps w:val="false"/>
                  <w:sz w:val="20"/>
                </w:rPr>
                <w:t xml:space="preserve">Receipt of Multiple Proxy Cards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r>
      <w:tr>
        <w:trPr/>
        <w:tc>
          <w:tcPr>
            <w:tcW w:w="9166" w:type="dxa"/>
            <w:tcBorders/>
            <w:shd w:fill="CCEEFF" w:val="clear"/>
            <w:vAlign w:val="center"/>
          </w:tcPr>
          <w:p>
            <w:pPr>
              <w:pStyle w:val="TableContents"/>
              <w:keepNext w:val="false"/>
              <w:widowControl/>
              <w:pBdr/>
              <w:bidi w:val="0"/>
              <w:spacing w:before="0" w:after="283"/>
              <w:ind w:left="200" w:right="0" w:hanging="200"/>
              <w:jc w:val="left"/>
              <w:rPr/>
            </w:pPr>
            <w:hyperlink w:anchor="T9916">
              <w:r>
                <w:rPr>
                  <w:rStyle w:val="InternetLink"/>
                  <w:rFonts w:ascii="Times New Roman PS Std;serif" w:hAnsi="Times New Roman PS Std;serif"/>
                  <w:b w:val="false"/>
                  <w:i w:val="false"/>
                  <w:caps w:val="false"/>
                  <w:smallCaps w:val="false"/>
                  <w:sz w:val="20"/>
                </w:rPr>
                <w:t xml:space="preserve">Revoking Your Proxy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r>
      <w:tr>
        <w:trPr/>
        <w:tc>
          <w:tcPr>
            <w:tcW w:w="9166" w:type="dxa"/>
            <w:tcBorders/>
            <w:vAlign w:val="center"/>
          </w:tcPr>
          <w:p>
            <w:pPr>
              <w:pStyle w:val="TableContents"/>
              <w:keepNext w:val="false"/>
              <w:widowControl/>
              <w:pBdr/>
              <w:bidi w:val="0"/>
              <w:spacing w:before="0" w:after="283"/>
              <w:ind w:left="200" w:right="0" w:hanging="200"/>
              <w:jc w:val="left"/>
              <w:rPr/>
            </w:pPr>
            <w:hyperlink w:anchor="T9917">
              <w:r>
                <w:rPr>
                  <w:rStyle w:val="InternetLink"/>
                  <w:rFonts w:ascii="Times New Roman PS Std;serif" w:hAnsi="Times New Roman PS Std;serif"/>
                  <w:b w:val="false"/>
                  <w:i w:val="false"/>
                  <w:caps w:val="false"/>
                  <w:smallCaps w:val="false"/>
                  <w:sz w:val="20"/>
                </w:rPr>
                <w:t xml:space="preserve">Vote Required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r>
      <w:tr>
        <w:trPr/>
        <w:tc>
          <w:tcPr>
            <w:tcW w:w="9166" w:type="dxa"/>
            <w:tcBorders/>
            <w:shd w:fill="CCEEFF" w:val="clear"/>
            <w:vAlign w:val="center"/>
          </w:tcPr>
          <w:p>
            <w:pPr>
              <w:pStyle w:val="TableContents"/>
              <w:keepNext w:val="false"/>
              <w:widowControl/>
              <w:pBdr/>
              <w:bidi w:val="0"/>
              <w:spacing w:before="0" w:after="283"/>
              <w:ind w:left="200" w:right="0" w:hanging="200"/>
              <w:jc w:val="left"/>
              <w:rPr/>
            </w:pPr>
            <w:hyperlink w:anchor="T9918">
              <w:r>
                <w:rPr>
                  <w:rStyle w:val="InternetLink"/>
                  <w:rFonts w:ascii="Times New Roman PS Std;serif" w:hAnsi="Times New Roman PS Std;serif"/>
                  <w:b w:val="false"/>
                  <w:i w:val="false"/>
                  <w:caps w:val="false"/>
                  <w:smallCaps w:val="false"/>
                  <w:sz w:val="20"/>
                </w:rPr>
                <w:t xml:space="preserve">Participants in the Solicitation of Proxies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r>
      <w:tr>
        <w:trPr/>
        <w:tc>
          <w:tcPr>
            <w:tcW w:w="9166" w:type="dxa"/>
            <w:tcBorders/>
            <w:vAlign w:val="center"/>
          </w:tcPr>
          <w:p>
            <w:pPr>
              <w:pStyle w:val="TableContents"/>
              <w:keepNext w:val="false"/>
              <w:widowControl/>
              <w:pBdr/>
              <w:bidi w:val="0"/>
              <w:spacing w:before="0" w:after="283"/>
              <w:ind w:left="200" w:right="0" w:hanging="200"/>
              <w:jc w:val="left"/>
              <w:rPr/>
            </w:pPr>
            <w:hyperlink w:anchor="T9919">
              <w:r>
                <w:rPr>
                  <w:rStyle w:val="InternetLink"/>
                  <w:rFonts w:ascii="Times New Roman PS Std;serif" w:hAnsi="Times New Roman PS Std;serif"/>
                  <w:b w:val="false"/>
                  <w:i w:val="false"/>
                  <w:caps w:val="false"/>
                  <w:smallCaps w:val="false"/>
                  <w:sz w:val="20"/>
                </w:rPr>
                <w:t xml:space="preserve">Information Regarding This Solicitation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r>
      <w:tr>
        <w:trPr/>
        <w:tc>
          <w:tcPr>
            <w:tcW w:w="9166" w:type="dxa"/>
            <w:tcBorders/>
            <w:shd w:fill="CCEEFF" w:val="clear"/>
            <w:vAlign w:val="center"/>
          </w:tcPr>
          <w:p>
            <w:pPr>
              <w:pStyle w:val="TableContents"/>
              <w:keepNext w:val="false"/>
              <w:widowControl/>
              <w:pBdr/>
              <w:bidi w:val="0"/>
              <w:spacing w:before="120" w:after="283"/>
              <w:ind w:left="200" w:right="0" w:hanging="200"/>
              <w:jc w:val="left"/>
              <w:rPr/>
            </w:pPr>
            <w:hyperlink w:anchor="T9920">
              <w:r>
                <w:rPr>
                  <w:rStyle w:val="InternetLink"/>
                  <w:rFonts w:ascii="Times New Roman PS Std;serif" w:hAnsi="Times New Roman PS Std;serif"/>
                  <w:b w:val="false"/>
                  <w:i w:val="false"/>
                  <w:caps w:val="false"/>
                  <w:smallCaps w:val="false"/>
                  <w:sz w:val="20"/>
                </w:rPr>
                <w:t xml:space="preserve">SECURITY OWNERSHIP OF CERTAIN BENEFICIAL OWNERS AND MANAGEMENT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12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9166" w:type="dxa"/>
            <w:tcBorders/>
            <w:vAlign w:val="center"/>
          </w:tcPr>
          <w:p>
            <w:pPr>
              <w:pStyle w:val="TableContents"/>
              <w:keepNext w:val="false"/>
              <w:widowControl/>
              <w:pBdr/>
              <w:bidi w:val="0"/>
              <w:spacing w:before="120" w:after="283"/>
              <w:ind w:left="200" w:right="0" w:hanging="200"/>
              <w:jc w:val="left"/>
              <w:rPr/>
            </w:pPr>
            <w:hyperlink w:anchor="T9921">
              <w:r>
                <w:rPr>
                  <w:rStyle w:val="InternetLink"/>
                  <w:rFonts w:ascii="Times New Roman PS Std;serif" w:hAnsi="Times New Roman PS Std;serif"/>
                  <w:b w:val="false"/>
                  <w:i w:val="false"/>
                  <w:caps w:val="false"/>
                  <w:smallCaps w:val="false"/>
                  <w:sz w:val="20"/>
                </w:rPr>
                <w:t xml:space="preserve">PROPOSAL 1: ELECTION OF DIRECTORS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12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r>
      <w:tr>
        <w:trPr/>
        <w:tc>
          <w:tcPr>
            <w:tcW w:w="9166" w:type="dxa"/>
            <w:tcBorders/>
            <w:shd w:fill="CCEEFF" w:val="clear"/>
            <w:vAlign w:val="center"/>
          </w:tcPr>
          <w:p>
            <w:pPr>
              <w:pStyle w:val="TableContents"/>
              <w:keepNext w:val="false"/>
              <w:widowControl/>
              <w:pBdr/>
              <w:bidi w:val="0"/>
              <w:spacing w:before="0" w:after="283"/>
              <w:ind w:left="200" w:right="0" w:hanging="200"/>
              <w:jc w:val="left"/>
              <w:rPr/>
            </w:pPr>
            <w:hyperlink w:anchor="T9922">
              <w:r>
                <w:rPr>
                  <w:rStyle w:val="InternetLink"/>
                  <w:rFonts w:ascii="Times New Roman PS Std;serif" w:hAnsi="Times New Roman PS Std;serif"/>
                  <w:b w:val="false"/>
                  <w:i w:val="false"/>
                  <w:caps w:val="false"/>
                  <w:smallCaps w:val="false"/>
                  <w:sz w:val="20"/>
                </w:rPr>
                <w:t xml:space="preserve">Information About the Nominees and Directors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r>
      <w:tr>
        <w:trPr/>
        <w:tc>
          <w:tcPr>
            <w:tcW w:w="9166" w:type="dxa"/>
            <w:tcBorders/>
            <w:vAlign w:val="center"/>
          </w:tcPr>
          <w:p>
            <w:pPr>
              <w:pStyle w:val="TableContents"/>
              <w:keepNext w:val="false"/>
              <w:widowControl/>
              <w:pBdr/>
              <w:bidi w:val="0"/>
              <w:spacing w:before="0" w:after="283"/>
              <w:ind w:left="200" w:right="0" w:hanging="200"/>
              <w:jc w:val="left"/>
              <w:rPr/>
            </w:pPr>
            <w:hyperlink w:anchor="T9923">
              <w:r>
                <w:rPr>
                  <w:rStyle w:val="InternetLink"/>
                  <w:rFonts w:ascii="Times New Roman PS Std;serif" w:hAnsi="Times New Roman PS Std;serif"/>
                  <w:b w:val="false"/>
                  <w:i w:val="false"/>
                  <w:caps w:val="false"/>
                  <w:smallCaps w:val="false"/>
                  <w:sz w:val="20"/>
                </w:rPr>
                <w:t xml:space="preserve">Information About Executive Officers Who Are Not Directors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r>
      <w:tr>
        <w:trPr/>
        <w:tc>
          <w:tcPr>
            <w:tcW w:w="9166" w:type="dxa"/>
            <w:tcBorders/>
            <w:shd w:fill="CCEEFF" w:val="clear"/>
            <w:vAlign w:val="center"/>
          </w:tcPr>
          <w:p>
            <w:pPr>
              <w:pStyle w:val="TableContents"/>
              <w:keepNext w:val="false"/>
              <w:widowControl/>
              <w:pBdr/>
              <w:bidi w:val="0"/>
              <w:spacing w:before="0" w:after="283"/>
              <w:ind w:left="200" w:right="0" w:hanging="200"/>
              <w:jc w:val="left"/>
              <w:rPr/>
            </w:pPr>
            <w:hyperlink w:anchor="T9924">
              <w:r>
                <w:rPr>
                  <w:rStyle w:val="InternetLink"/>
                  <w:rFonts w:ascii="Times New Roman PS Std;serif" w:hAnsi="Times New Roman PS Std;serif"/>
                  <w:b w:val="false"/>
                  <w:i w:val="false"/>
                  <w:caps w:val="false"/>
                  <w:smallCaps w:val="false"/>
                  <w:sz w:val="20"/>
                </w:rPr>
                <w:t xml:space="preserve">Board Leadership Structure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r>
      <w:tr>
        <w:trPr/>
        <w:tc>
          <w:tcPr>
            <w:tcW w:w="9166" w:type="dxa"/>
            <w:tcBorders/>
            <w:vAlign w:val="center"/>
          </w:tcPr>
          <w:p>
            <w:pPr>
              <w:pStyle w:val="TableContents"/>
              <w:keepNext w:val="false"/>
              <w:widowControl/>
              <w:pBdr/>
              <w:bidi w:val="0"/>
              <w:spacing w:before="0" w:after="283"/>
              <w:ind w:left="200" w:right="0" w:hanging="200"/>
              <w:jc w:val="left"/>
              <w:rPr/>
            </w:pPr>
            <w:hyperlink w:anchor="T9925">
              <w:r>
                <w:rPr>
                  <w:rStyle w:val="InternetLink"/>
                  <w:rFonts w:ascii="Times New Roman PS Std;serif" w:hAnsi="Times New Roman PS Std;serif"/>
                  <w:b w:val="false"/>
                  <w:i w:val="false"/>
                  <w:caps w:val="false"/>
                  <w:smallCaps w:val="false"/>
                  <w:sz w:val="20"/>
                </w:rPr>
                <w:t xml:space="preserve">Board’s Role In Risk Oversight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r>
      <w:tr>
        <w:trPr/>
        <w:tc>
          <w:tcPr>
            <w:tcW w:w="9166" w:type="dxa"/>
            <w:tcBorders/>
            <w:shd w:fill="CCEEFF" w:val="clear"/>
            <w:vAlign w:val="center"/>
          </w:tcPr>
          <w:p>
            <w:pPr>
              <w:pStyle w:val="TableContents"/>
              <w:keepNext w:val="false"/>
              <w:widowControl/>
              <w:pBdr/>
              <w:bidi w:val="0"/>
              <w:spacing w:before="0" w:after="283"/>
              <w:ind w:left="200" w:right="0" w:hanging="200"/>
              <w:jc w:val="left"/>
              <w:rPr/>
            </w:pPr>
            <w:hyperlink w:anchor="T9926">
              <w:r>
                <w:rPr>
                  <w:rStyle w:val="InternetLink"/>
                  <w:rFonts w:ascii="Times New Roman PS Std;serif" w:hAnsi="Times New Roman PS Std;serif"/>
                  <w:b w:val="false"/>
                  <w:i w:val="false"/>
                  <w:caps w:val="false"/>
                  <w:smallCaps w:val="false"/>
                  <w:sz w:val="20"/>
                </w:rPr>
                <w:t xml:space="preserve">Transactions with Related Persons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r>
      <w:tr>
        <w:trPr/>
        <w:tc>
          <w:tcPr>
            <w:tcW w:w="9166" w:type="dxa"/>
            <w:tcBorders/>
            <w:vAlign w:val="center"/>
          </w:tcPr>
          <w:p>
            <w:pPr>
              <w:pStyle w:val="TableContents"/>
              <w:keepNext w:val="false"/>
              <w:widowControl/>
              <w:pBdr/>
              <w:bidi w:val="0"/>
              <w:spacing w:before="0" w:after="283"/>
              <w:ind w:left="200" w:right="0" w:hanging="200"/>
              <w:jc w:val="left"/>
              <w:rPr/>
            </w:pPr>
            <w:hyperlink w:anchor="T9927">
              <w:r>
                <w:rPr>
                  <w:rStyle w:val="InternetLink"/>
                  <w:rFonts w:ascii="Times New Roman PS Std;serif" w:hAnsi="Times New Roman PS Std;serif"/>
                  <w:b w:val="false"/>
                  <w:i w:val="false"/>
                  <w:caps w:val="false"/>
                  <w:smallCaps w:val="false"/>
                  <w:sz w:val="20"/>
                </w:rPr>
                <w:t xml:space="preserve">Investment Advisory Agreement Subject to Annual Approval by the Independent Directors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r>
      <w:tr>
        <w:trPr/>
        <w:tc>
          <w:tcPr>
            <w:tcW w:w="9166" w:type="dxa"/>
            <w:tcBorders/>
            <w:shd w:fill="CCEEFF" w:val="clear"/>
            <w:vAlign w:val="center"/>
          </w:tcPr>
          <w:p>
            <w:pPr>
              <w:pStyle w:val="TableContents"/>
              <w:keepNext w:val="false"/>
              <w:widowControl/>
              <w:pBdr/>
              <w:bidi w:val="0"/>
              <w:spacing w:before="0" w:after="283"/>
              <w:ind w:left="200" w:right="0" w:hanging="200"/>
              <w:jc w:val="left"/>
              <w:rPr/>
            </w:pPr>
            <w:hyperlink w:anchor="T9928">
              <w:r>
                <w:rPr>
                  <w:rStyle w:val="InternetLink"/>
                  <w:rFonts w:ascii="Times New Roman PS Std;serif" w:hAnsi="Times New Roman PS Std;serif"/>
                  <w:b w:val="false"/>
                  <w:i w:val="false"/>
                  <w:caps w:val="false"/>
                  <w:smallCaps w:val="false"/>
                  <w:sz w:val="20"/>
                </w:rPr>
                <w:t xml:space="preserve">Review, Approval or Ratification of Transactions with Related Persons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r>
      <w:tr>
        <w:trPr/>
        <w:tc>
          <w:tcPr>
            <w:tcW w:w="9166" w:type="dxa"/>
            <w:tcBorders/>
            <w:vAlign w:val="center"/>
          </w:tcPr>
          <w:p>
            <w:pPr>
              <w:pStyle w:val="TableContents"/>
              <w:keepNext w:val="false"/>
              <w:widowControl/>
              <w:pBdr/>
              <w:bidi w:val="0"/>
              <w:spacing w:before="0" w:after="283"/>
              <w:ind w:left="200" w:right="0" w:hanging="200"/>
              <w:jc w:val="left"/>
              <w:rPr/>
            </w:pPr>
            <w:hyperlink w:anchor="T9929">
              <w:r>
                <w:rPr>
                  <w:rStyle w:val="InternetLink"/>
                  <w:rFonts w:ascii="Times New Roman PS Std;serif" w:hAnsi="Times New Roman PS Std;serif"/>
                  <w:b w:val="false"/>
                  <w:i w:val="false"/>
                  <w:caps w:val="false"/>
                  <w:smallCaps w:val="false"/>
                  <w:sz w:val="20"/>
                </w:rPr>
                <w:t xml:space="preserve">Corporate Governance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r>
      <w:tr>
        <w:trPr/>
        <w:tc>
          <w:tcPr>
            <w:tcW w:w="9166" w:type="dxa"/>
            <w:tcBorders/>
            <w:shd w:fill="CCEEFF" w:val="clear"/>
            <w:vAlign w:val="center"/>
          </w:tcPr>
          <w:p>
            <w:pPr>
              <w:pStyle w:val="TableContents"/>
              <w:keepNext w:val="false"/>
              <w:widowControl/>
              <w:pBdr/>
              <w:bidi w:val="0"/>
              <w:spacing w:before="0" w:after="283"/>
              <w:ind w:left="200" w:right="0" w:hanging="200"/>
              <w:jc w:val="left"/>
              <w:rPr/>
            </w:pPr>
            <w:hyperlink w:anchor="T9930">
              <w:r>
                <w:rPr>
                  <w:rStyle w:val="InternetLink"/>
                  <w:rFonts w:ascii="Times New Roman PS Std;serif" w:hAnsi="Times New Roman PS Std;serif"/>
                  <w:b w:val="false"/>
                  <w:i w:val="false"/>
                  <w:caps w:val="false"/>
                  <w:smallCaps w:val="false"/>
                  <w:sz w:val="20"/>
                </w:rPr>
                <w:t xml:space="preserve">Corporate Governance Documents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r>
      <w:tr>
        <w:trPr/>
        <w:tc>
          <w:tcPr>
            <w:tcW w:w="9166" w:type="dxa"/>
            <w:tcBorders/>
            <w:vAlign w:val="center"/>
          </w:tcPr>
          <w:p>
            <w:pPr>
              <w:pStyle w:val="TableContents"/>
              <w:keepNext w:val="false"/>
              <w:widowControl/>
              <w:pBdr/>
              <w:bidi w:val="0"/>
              <w:spacing w:before="0" w:after="283"/>
              <w:ind w:left="200" w:right="0" w:hanging="200"/>
              <w:jc w:val="left"/>
              <w:rPr/>
            </w:pPr>
            <w:hyperlink w:anchor="T9931">
              <w:r>
                <w:rPr>
                  <w:rStyle w:val="InternetLink"/>
                  <w:rFonts w:ascii="Times New Roman PS Std;serif" w:hAnsi="Times New Roman PS Std;serif"/>
                  <w:b w:val="false"/>
                  <w:i w:val="false"/>
                  <w:caps w:val="false"/>
                  <w:smallCaps w:val="false"/>
                  <w:sz w:val="20"/>
                </w:rPr>
                <w:t xml:space="preserve">Director Independence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r>
      <w:tr>
        <w:trPr/>
        <w:tc>
          <w:tcPr>
            <w:tcW w:w="9166" w:type="dxa"/>
            <w:tcBorders/>
            <w:shd w:fill="CCEEFF" w:val="clear"/>
            <w:vAlign w:val="center"/>
          </w:tcPr>
          <w:p>
            <w:pPr>
              <w:pStyle w:val="TableContents"/>
              <w:keepNext w:val="false"/>
              <w:widowControl/>
              <w:pBdr/>
              <w:bidi w:val="0"/>
              <w:spacing w:before="0" w:after="283"/>
              <w:ind w:left="200" w:right="0" w:hanging="200"/>
              <w:jc w:val="left"/>
              <w:rPr/>
            </w:pPr>
            <w:hyperlink w:anchor="T9932">
              <w:r>
                <w:rPr>
                  <w:rStyle w:val="InternetLink"/>
                  <w:rFonts w:ascii="Times New Roman PS Std;serif" w:hAnsi="Times New Roman PS Std;serif"/>
                  <w:b w:val="false"/>
                  <w:i w:val="false"/>
                  <w:caps w:val="false"/>
                  <w:smallCaps w:val="false"/>
                  <w:sz w:val="20"/>
                </w:rPr>
                <w:t xml:space="preserve">Evaluation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r>
      <w:tr>
        <w:trPr/>
        <w:tc>
          <w:tcPr>
            <w:tcW w:w="9166" w:type="dxa"/>
            <w:tcBorders/>
            <w:vAlign w:val="center"/>
          </w:tcPr>
          <w:p>
            <w:pPr>
              <w:pStyle w:val="TableContents"/>
              <w:keepNext w:val="false"/>
              <w:widowControl/>
              <w:pBdr/>
              <w:bidi w:val="0"/>
              <w:spacing w:before="0" w:after="283"/>
              <w:ind w:left="200" w:right="0" w:hanging="200"/>
              <w:jc w:val="left"/>
              <w:rPr/>
            </w:pPr>
            <w:hyperlink w:anchor="T9933">
              <w:r>
                <w:rPr>
                  <w:rStyle w:val="InternetLink"/>
                  <w:rFonts w:ascii="Times New Roman PS Std;serif" w:hAnsi="Times New Roman PS Std;serif"/>
                  <w:b w:val="false"/>
                  <w:i w:val="false"/>
                  <w:caps w:val="false"/>
                  <w:smallCaps w:val="false"/>
                  <w:sz w:val="20"/>
                </w:rPr>
                <w:t xml:space="preserve">Communication with the Board of Directors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r>
      <w:tr>
        <w:trPr/>
        <w:tc>
          <w:tcPr>
            <w:tcW w:w="9166" w:type="dxa"/>
            <w:tcBorders/>
            <w:shd w:fill="CCEEFF" w:val="clear"/>
            <w:vAlign w:val="center"/>
          </w:tcPr>
          <w:p>
            <w:pPr>
              <w:pStyle w:val="TableContents"/>
              <w:keepNext w:val="false"/>
              <w:widowControl/>
              <w:pBdr/>
              <w:bidi w:val="0"/>
              <w:spacing w:before="0" w:after="283"/>
              <w:ind w:left="200" w:right="0" w:hanging="200"/>
              <w:jc w:val="left"/>
              <w:rPr/>
            </w:pPr>
            <w:hyperlink w:anchor="T99503">
              <w:r>
                <w:rPr>
                  <w:rStyle w:val="InternetLink"/>
                  <w:rFonts w:ascii="Times New Roman PS Std;serif" w:hAnsi="Times New Roman PS Std;serif"/>
                  <w:b w:val="false"/>
                  <w:i w:val="false"/>
                  <w:caps w:val="false"/>
                  <w:smallCaps w:val="false"/>
                  <w:sz w:val="20"/>
                </w:rPr>
                <w:t xml:space="preserve">Insider Trading Policy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r>
      <w:tr>
        <w:trPr/>
        <w:tc>
          <w:tcPr>
            <w:tcW w:w="9166" w:type="dxa"/>
            <w:tcBorders/>
            <w:vAlign w:val="center"/>
          </w:tcPr>
          <w:p>
            <w:pPr>
              <w:pStyle w:val="TableContents"/>
              <w:keepNext w:val="false"/>
              <w:widowControl/>
              <w:pBdr/>
              <w:bidi w:val="0"/>
              <w:spacing w:before="0" w:after="283"/>
              <w:ind w:left="200" w:right="0" w:hanging="200"/>
              <w:jc w:val="left"/>
              <w:rPr/>
            </w:pPr>
            <w:hyperlink w:anchor="T99504">
              <w:r>
                <w:rPr>
                  <w:rStyle w:val="InternetLink"/>
                  <w:rFonts w:ascii="Times New Roman PS Std;serif" w:hAnsi="Times New Roman PS Std;serif"/>
                  <w:b w:val="false"/>
                  <w:i w:val="false"/>
                  <w:caps w:val="false"/>
                  <w:smallCaps w:val="false"/>
                  <w:sz w:val="20"/>
                </w:rPr>
                <w:t xml:space="preserve">Hedging Transactions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r>
      <w:tr>
        <w:trPr/>
        <w:tc>
          <w:tcPr>
            <w:tcW w:w="9166" w:type="dxa"/>
            <w:tcBorders/>
            <w:shd w:fill="CCEEFF" w:val="clear"/>
            <w:vAlign w:val="center"/>
          </w:tcPr>
          <w:p>
            <w:pPr>
              <w:pStyle w:val="TableContents"/>
              <w:keepNext w:val="false"/>
              <w:widowControl/>
              <w:pBdr/>
              <w:bidi w:val="0"/>
              <w:spacing w:before="0" w:after="283"/>
              <w:ind w:left="200" w:right="0" w:hanging="200"/>
              <w:jc w:val="left"/>
              <w:rPr/>
            </w:pPr>
            <w:hyperlink w:anchor="T9934">
              <w:r>
                <w:rPr>
                  <w:rStyle w:val="InternetLink"/>
                  <w:rFonts w:ascii="Times New Roman PS Std;serif" w:hAnsi="Times New Roman PS Std;serif"/>
                  <w:b w:val="false"/>
                  <w:i w:val="false"/>
                  <w:caps w:val="false"/>
                  <w:smallCaps w:val="false"/>
                  <w:sz w:val="20"/>
                </w:rPr>
                <w:t xml:space="preserve">Committees of the Board of Directors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r>
      <w:tr>
        <w:trPr/>
        <w:tc>
          <w:tcPr>
            <w:tcW w:w="9166" w:type="dxa"/>
            <w:tcBorders/>
            <w:vAlign w:val="center"/>
          </w:tcPr>
          <w:p>
            <w:pPr>
              <w:pStyle w:val="TableContents"/>
              <w:keepNext w:val="false"/>
              <w:widowControl/>
              <w:pBdr/>
              <w:bidi w:val="0"/>
              <w:spacing w:before="0" w:after="283"/>
              <w:ind w:left="200" w:right="0" w:hanging="200"/>
              <w:jc w:val="left"/>
              <w:rPr/>
            </w:pPr>
            <w:hyperlink w:anchor="T9935">
              <w:r>
                <w:rPr>
                  <w:rStyle w:val="InternetLink"/>
                  <w:rFonts w:ascii="Times New Roman PS Std;serif" w:hAnsi="Times New Roman PS Std;serif"/>
                  <w:b w:val="false"/>
                  <w:i w:val="false"/>
                  <w:caps w:val="false"/>
                  <w:smallCaps w:val="false"/>
                  <w:sz w:val="20"/>
                </w:rPr>
                <w:t xml:space="preserve">Audit Committee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r>
      <w:tr>
        <w:trPr/>
        <w:tc>
          <w:tcPr>
            <w:tcW w:w="9166" w:type="dxa"/>
            <w:tcBorders/>
            <w:shd w:fill="CCEEFF" w:val="clear"/>
            <w:vAlign w:val="center"/>
          </w:tcPr>
          <w:p>
            <w:pPr>
              <w:pStyle w:val="TableContents"/>
              <w:keepNext w:val="false"/>
              <w:widowControl/>
              <w:pBdr/>
              <w:bidi w:val="0"/>
              <w:spacing w:before="0" w:after="283"/>
              <w:ind w:left="200" w:right="0" w:hanging="200"/>
              <w:jc w:val="left"/>
              <w:rPr/>
            </w:pPr>
            <w:hyperlink w:anchor="T9936">
              <w:r>
                <w:rPr>
                  <w:rStyle w:val="InternetLink"/>
                  <w:rFonts w:ascii="Times New Roman PS Std;serif" w:hAnsi="Times New Roman PS Std;serif"/>
                  <w:b w:val="false"/>
                  <w:i w:val="false"/>
                  <w:caps w:val="false"/>
                  <w:smallCaps w:val="false"/>
                  <w:sz w:val="20"/>
                </w:rPr>
                <w:t xml:space="preserve">Nominating and Corporate Governance Committee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r>
      <w:tr>
        <w:trPr/>
        <w:tc>
          <w:tcPr>
            <w:tcW w:w="9166" w:type="dxa"/>
            <w:tcBorders/>
            <w:vAlign w:val="center"/>
          </w:tcPr>
          <w:p>
            <w:pPr>
              <w:pStyle w:val="TableContents"/>
              <w:keepNext w:val="false"/>
              <w:widowControl/>
              <w:pBdr/>
              <w:bidi w:val="0"/>
              <w:spacing w:before="0" w:after="283"/>
              <w:ind w:left="200" w:right="0" w:hanging="200"/>
              <w:jc w:val="left"/>
              <w:rPr/>
            </w:pPr>
            <w:hyperlink w:anchor="T9937">
              <w:r>
                <w:rPr>
                  <w:rStyle w:val="InternetLink"/>
                  <w:rFonts w:ascii="Times New Roman PS Std;serif" w:hAnsi="Times New Roman PS Std;serif"/>
                  <w:b w:val="false"/>
                  <w:i w:val="false"/>
                  <w:caps w:val="false"/>
                  <w:smallCaps w:val="false"/>
                  <w:sz w:val="20"/>
                </w:rPr>
                <w:t xml:space="preserve">Valuation Committee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r>
      <w:tr>
        <w:trPr/>
        <w:tc>
          <w:tcPr>
            <w:tcW w:w="9166" w:type="dxa"/>
            <w:tcBorders/>
            <w:shd w:fill="CCEEFF" w:val="clear"/>
            <w:vAlign w:val="center"/>
          </w:tcPr>
          <w:p>
            <w:pPr>
              <w:pStyle w:val="TableContents"/>
              <w:keepNext w:val="false"/>
              <w:widowControl/>
              <w:pBdr/>
              <w:bidi w:val="0"/>
              <w:spacing w:before="0" w:after="283"/>
              <w:ind w:left="200" w:right="0" w:hanging="200"/>
              <w:jc w:val="left"/>
              <w:rPr/>
            </w:pPr>
            <w:hyperlink w:anchor="T9938">
              <w:r>
                <w:rPr>
                  <w:rStyle w:val="InternetLink"/>
                  <w:rFonts w:ascii="Times New Roman PS Std;serif" w:hAnsi="Times New Roman PS Std;serif"/>
                  <w:b w:val="false"/>
                  <w:i w:val="false"/>
                  <w:caps w:val="false"/>
                  <w:smallCaps w:val="false"/>
                  <w:sz w:val="20"/>
                </w:rPr>
                <w:t xml:space="preserve">Compensation Committee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r>
      <w:tr>
        <w:trPr/>
        <w:tc>
          <w:tcPr>
            <w:tcW w:w="9166" w:type="dxa"/>
            <w:tcBorders/>
            <w:vAlign w:val="center"/>
          </w:tcPr>
          <w:p>
            <w:pPr>
              <w:pStyle w:val="TableContents"/>
              <w:keepNext w:val="false"/>
              <w:widowControl/>
              <w:pBdr/>
              <w:bidi w:val="0"/>
              <w:spacing w:before="0" w:after="283"/>
              <w:ind w:left="200" w:right="0" w:hanging="200"/>
              <w:jc w:val="left"/>
              <w:rPr/>
            </w:pPr>
            <w:hyperlink w:anchor="T9939">
              <w:r>
                <w:rPr>
                  <w:rStyle w:val="InternetLink"/>
                  <w:rFonts w:ascii="Times New Roman PS Std;serif" w:hAnsi="Times New Roman PS Std;serif"/>
                  <w:b w:val="false"/>
                  <w:i w:val="false"/>
                  <w:caps w:val="false"/>
                  <w:smallCaps w:val="false"/>
                  <w:sz w:val="20"/>
                </w:rPr>
                <w:t xml:space="preserve">Code of Ethics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r>
      <w:tr>
        <w:trPr/>
        <w:tc>
          <w:tcPr>
            <w:tcW w:w="9166" w:type="dxa"/>
            <w:tcBorders/>
            <w:shd w:fill="CCEEFF" w:val="clear"/>
            <w:vAlign w:val="center"/>
          </w:tcPr>
          <w:p>
            <w:pPr>
              <w:pStyle w:val="TableContents"/>
              <w:keepNext w:val="false"/>
              <w:widowControl/>
              <w:pBdr/>
              <w:bidi w:val="0"/>
              <w:spacing w:before="0" w:after="283"/>
              <w:ind w:left="200" w:right="0" w:hanging="200"/>
              <w:jc w:val="left"/>
              <w:rPr/>
            </w:pPr>
            <w:hyperlink w:anchor="T9940">
              <w:r>
                <w:rPr>
                  <w:rStyle w:val="InternetLink"/>
                  <w:rFonts w:ascii="Times New Roman PS Std;serif" w:hAnsi="Times New Roman PS Std;serif"/>
                  <w:b w:val="false"/>
                  <w:i w:val="false"/>
                  <w:caps w:val="false"/>
                  <w:smallCaps w:val="false"/>
                  <w:sz w:val="20"/>
                </w:rPr>
                <w:t xml:space="preserve">Compensation of Executive Officers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r>
      <w:tr>
        <w:trPr/>
        <w:tc>
          <w:tcPr>
            <w:tcW w:w="9166" w:type="dxa"/>
            <w:tcBorders/>
            <w:vAlign w:val="center"/>
          </w:tcPr>
          <w:p>
            <w:pPr>
              <w:pStyle w:val="TableContents"/>
              <w:keepNext w:val="false"/>
              <w:widowControl/>
              <w:pBdr/>
              <w:bidi w:val="0"/>
              <w:spacing w:before="0" w:after="283"/>
              <w:ind w:left="200" w:right="0" w:hanging="200"/>
              <w:jc w:val="left"/>
              <w:rPr/>
            </w:pPr>
            <w:hyperlink w:anchor="T99505">
              <w:r>
                <w:rPr>
                  <w:rStyle w:val="InternetLink"/>
                  <w:rFonts w:ascii="Times New Roman PS Std;serif" w:hAnsi="Times New Roman PS Std;serif"/>
                  <w:b w:val="false"/>
                  <w:i w:val="false"/>
                  <w:caps w:val="false"/>
                  <w:smallCaps w:val="false"/>
                  <w:sz w:val="20"/>
                </w:rPr>
                <w:t xml:space="preserve">Timing of Grants of Options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r>
      <w:tr>
        <w:trPr/>
        <w:tc>
          <w:tcPr>
            <w:tcW w:w="9166" w:type="dxa"/>
            <w:tcBorders/>
            <w:shd w:fill="CCEEFF" w:val="clear"/>
            <w:vAlign w:val="center"/>
          </w:tcPr>
          <w:p>
            <w:pPr>
              <w:pStyle w:val="TableContents"/>
              <w:keepNext w:val="false"/>
              <w:widowControl/>
              <w:pBdr/>
              <w:bidi w:val="0"/>
              <w:spacing w:before="0" w:after="283"/>
              <w:ind w:left="200" w:right="0" w:hanging="200"/>
              <w:jc w:val="left"/>
              <w:rPr/>
            </w:pPr>
            <w:hyperlink w:anchor="T9941">
              <w:r>
                <w:rPr>
                  <w:rStyle w:val="InternetLink"/>
                  <w:rFonts w:ascii="Times New Roman PS Std;serif" w:hAnsi="Times New Roman PS Std;serif"/>
                  <w:b w:val="false"/>
                  <w:i w:val="false"/>
                  <w:caps w:val="false"/>
                  <w:smallCaps w:val="false"/>
                  <w:sz w:val="20"/>
                </w:rPr>
                <w:t xml:space="preserve">Compensation of Directors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9338"/>
        <w:gridCol w:w="146"/>
        <w:gridCol w:w="721"/>
      </w:tblGrid>
      <w:tr>
        <w:trPr/>
        <w:tc>
          <w:tcPr>
            <w:tcW w:w="93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38" w:type="dxa"/>
            <w:tcBorders/>
            <w:shd w:fill="CCEEFF" w:val="clear"/>
            <w:vAlign w:val="center"/>
          </w:tcPr>
          <w:p>
            <w:pPr>
              <w:pStyle w:val="TableContents"/>
              <w:keepNext w:val="false"/>
              <w:widowControl/>
              <w:pBdr/>
              <w:bidi w:val="0"/>
              <w:spacing w:before="0" w:after="283"/>
              <w:ind w:left="200" w:right="0" w:hanging="200"/>
              <w:jc w:val="left"/>
              <w:rPr/>
            </w:pPr>
            <w:hyperlink w:anchor="T9942">
              <w:r>
                <w:rPr>
                  <w:rStyle w:val="InternetLink"/>
                  <w:rFonts w:ascii="Times New Roman PS Std;serif" w:hAnsi="Times New Roman PS Std;serif"/>
                  <w:b w:val="false"/>
                  <w:i w:val="false"/>
                  <w:caps w:val="false"/>
                  <w:smallCaps w:val="false"/>
                  <w:sz w:val="20"/>
                </w:rPr>
                <w:t xml:space="preserve">PROPOSAL 2: RATIFY THE APPOINTMENT OF ERNST &amp; YOUNG LLP AS OUR INDEPENDENT REGISTERED PUBLIC ACCOUNTING FIRM FOR THE 2026 FISCAL YEAR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r>
      <w:tr>
        <w:trPr/>
        <w:tc>
          <w:tcPr>
            <w:tcW w:w="9338" w:type="dxa"/>
            <w:tcBorders/>
            <w:vAlign w:val="center"/>
          </w:tcPr>
          <w:p>
            <w:pPr>
              <w:pStyle w:val="TableContents"/>
              <w:keepNext w:val="false"/>
              <w:widowControl/>
              <w:pBdr/>
              <w:bidi w:val="0"/>
              <w:spacing w:before="0" w:after="283"/>
              <w:ind w:left="200" w:right="0" w:hanging="200"/>
              <w:jc w:val="left"/>
              <w:rPr/>
            </w:pPr>
            <w:hyperlink w:anchor="T9943">
              <w:r>
                <w:rPr>
                  <w:rStyle w:val="InternetLink"/>
                  <w:rFonts w:ascii="Times New Roman PS Std;serif" w:hAnsi="Times New Roman PS Std;serif"/>
                  <w:b w:val="false"/>
                  <w:i w:val="false"/>
                  <w:caps w:val="false"/>
                  <w:smallCaps w:val="false"/>
                  <w:sz w:val="20"/>
                </w:rPr>
                <w:t xml:space="preserve">Independent Auditor’s Fees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r>
      <w:tr>
        <w:trPr/>
        <w:tc>
          <w:tcPr>
            <w:tcW w:w="9338" w:type="dxa"/>
            <w:tcBorders/>
            <w:shd w:fill="CCEEFF" w:val="clear"/>
            <w:vAlign w:val="center"/>
          </w:tcPr>
          <w:p>
            <w:pPr>
              <w:pStyle w:val="TableContents"/>
              <w:keepNext w:val="false"/>
              <w:widowControl/>
              <w:pBdr/>
              <w:bidi w:val="0"/>
              <w:spacing w:before="0" w:after="283"/>
              <w:ind w:left="200" w:right="0" w:hanging="200"/>
              <w:jc w:val="left"/>
              <w:rPr/>
            </w:pPr>
            <w:hyperlink w:anchor="T99506">
              <w:r>
                <w:rPr>
                  <w:rStyle w:val="InternetLink"/>
                  <w:rFonts w:ascii="Times New Roman PS Std;serif" w:hAnsi="Times New Roman PS Std;serif"/>
                  <w:b w:val="false"/>
                  <w:i w:val="false"/>
                  <w:caps w:val="false"/>
                  <w:smallCaps w:val="false"/>
                  <w:sz w:val="20"/>
                </w:rPr>
                <w:t xml:space="preserve">Pre-Approval Policy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r>
      <w:tr>
        <w:trPr/>
        <w:tc>
          <w:tcPr>
            <w:tcW w:w="9338" w:type="dxa"/>
            <w:tcBorders/>
            <w:vAlign w:val="center"/>
          </w:tcPr>
          <w:p>
            <w:pPr>
              <w:pStyle w:val="TableContents"/>
              <w:keepNext w:val="false"/>
              <w:widowControl/>
              <w:pBdr/>
              <w:bidi w:val="0"/>
              <w:spacing w:before="0" w:after="283"/>
              <w:ind w:left="200" w:right="0" w:hanging="200"/>
              <w:jc w:val="left"/>
              <w:rPr/>
            </w:pPr>
            <w:hyperlink w:anchor="T9944">
              <w:r>
                <w:rPr>
                  <w:rStyle w:val="InternetLink"/>
                  <w:rFonts w:ascii="Times New Roman PS Std;serif" w:hAnsi="Times New Roman PS Std;serif"/>
                  <w:b w:val="false"/>
                  <w:i w:val="false"/>
                  <w:caps w:val="false"/>
                  <w:smallCaps w:val="false"/>
                  <w:sz w:val="20"/>
                </w:rPr>
                <w:t xml:space="preserve">Required Vote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r>
      <w:tr>
        <w:trPr/>
        <w:tc>
          <w:tcPr>
            <w:tcW w:w="9338" w:type="dxa"/>
            <w:tcBorders/>
            <w:shd w:fill="CCEEFF" w:val="clear"/>
            <w:vAlign w:val="center"/>
          </w:tcPr>
          <w:p>
            <w:pPr>
              <w:pStyle w:val="TableContents"/>
              <w:keepNext w:val="false"/>
              <w:widowControl/>
              <w:pBdr/>
              <w:bidi w:val="0"/>
              <w:spacing w:before="0" w:after="283"/>
              <w:ind w:left="200" w:right="0" w:hanging="200"/>
              <w:jc w:val="left"/>
              <w:rPr/>
            </w:pPr>
            <w:hyperlink w:anchor="T9945">
              <w:r>
                <w:rPr>
                  <w:rStyle w:val="InternetLink"/>
                  <w:rFonts w:ascii="Times New Roman PS Std;serif" w:hAnsi="Times New Roman PS Std;serif"/>
                  <w:b w:val="false"/>
                  <w:i w:val="false"/>
                  <w:caps w:val="false"/>
                  <w:smallCaps w:val="false"/>
                  <w:sz w:val="20"/>
                </w:rPr>
                <w:t xml:space="preserve">Audit Committee Report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r>
      <w:tr>
        <w:trPr/>
        <w:tc>
          <w:tcPr>
            <w:tcW w:w="9338" w:type="dxa"/>
            <w:tcBorders/>
            <w:vAlign w:val="center"/>
          </w:tcPr>
          <w:p>
            <w:pPr>
              <w:pStyle w:val="TableContents"/>
              <w:keepNext w:val="false"/>
              <w:widowControl/>
              <w:pBdr/>
              <w:bidi w:val="0"/>
              <w:spacing w:before="120" w:after="283"/>
              <w:ind w:left="200" w:right="0" w:hanging="200"/>
              <w:jc w:val="left"/>
              <w:rPr/>
            </w:pPr>
            <w:hyperlink w:anchor="T9946">
              <w:r>
                <w:rPr>
                  <w:rStyle w:val="InternetLink"/>
                  <w:rFonts w:ascii="Times New Roman PS Std;serif" w:hAnsi="Times New Roman PS Std;serif"/>
                  <w:b w:val="false"/>
                  <w:i w:val="false"/>
                  <w:caps w:val="false"/>
                  <w:smallCaps w:val="false"/>
                  <w:sz w:val="20"/>
                </w:rPr>
                <w:t xml:space="preserve">OTHER MATTERS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12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r>
      <w:tr>
        <w:trPr/>
        <w:tc>
          <w:tcPr>
            <w:tcW w:w="9338" w:type="dxa"/>
            <w:tcBorders/>
            <w:shd w:fill="CCEEFF" w:val="clear"/>
            <w:vAlign w:val="center"/>
          </w:tcPr>
          <w:p>
            <w:pPr>
              <w:pStyle w:val="TableContents"/>
              <w:keepNext w:val="false"/>
              <w:widowControl/>
              <w:pBdr/>
              <w:bidi w:val="0"/>
              <w:spacing w:before="0" w:after="283"/>
              <w:ind w:left="200" w:right="0" w:hanging="200"/>
              <w:jc w:val="left"/>
              <w:rPr/>
            </w:pPr>
            <w:hyperlink w:anchor="T9947">
              <w:r>
                <w:rPr>
                  <w:rStyle w:val="InternetLink"/>
                  <w:rFonts w:ascii="Times New Roman PS Std;serif" w:hAnsi="Times New Roman PS Std;serif"/>
                  <w:b w:val="false"/>
                  <w:i w:val="false"/>
                  <w:caps w:val="false"/>
                  <w:smallCaps w:val="false"/>
                  <w:sz w:val="20"/>
                </w:rPr>
                <w:t xml:space="preserve">Stockholder Proposals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r>
      <w:tr>
        <w:trPr/>
        <w:tc>
          <w:tcPr>
            <w:tcW w:w="9338" w:type="dxa"/>
            <w:tcBorders/>
            <w:vAlign w:val="center"/>
          </w:tcPr>
          <w:p>
            <w:pPr>
              <w:pStyle w:val="TableContents"/>
              <w:keepNext w:val="false"/>
              <w:widowControl/>
              <w:pBdr/>
              <w:bidi w:val="0"/>
              <w:spacing w:before="0" w:after="283"/>
              <w:ind w:left="200" w:right="0" w:hanging="200"/>
              <w:jc w:val="left"/>
              <w:rPr/>
            </w:pPr>
            <w:hyperlink w:anchor="T9948">
              <w:r>
                <w:rPr>
                  <w:rStyle w:val="InternetLink"/>
                  <w:rFonts w:ascii="Times New Roman PS Std;serif" w:hAnsi="Times New Roman PS Std;serif"/>
                  <w:b w:val="false"/>
                  <w:i w:val="false"/>
                  <w:caps w:val="false"/>
                  <w:smallCaps w:val="false"/>
                  <w:sz w:val="20"/>
                </w:rPr>
                <w:t xml:space="preserve">Other Business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r>
      <w:tr>
        <w:trPr/>
        <w:tc>
          <w:tcPr>
            <w:tcW w:w="9338" w:type="dxa"/>
            <w:tcBorders/>
            <w:shd w:fill="CCEEFF" w:val="clear"/>
            <w:vAlign w:val="center"/>
          </w:tcPr>
          <w:p>
            <w:pPr>
              <w:pStyle w:val="TableContents"/>
              <w:keepNext w:val="false"/>
              <w:widowControl/>
              <w:pBdr/>
              <w:bidi w:val="0"/>
              <w:spacing w:before="0" w:after="283"/>
              <w:ind w:left="200" w:right="0" w:hanging="200"/>
              <w:jc w:val="left"/>
              <w:rPr/>
            </w:pPr>
            <w:hyperlink w:anchor="T9949">
              <w:r>
                <w:rPr>
                  <w:rStyle w:val="InternetLink"/>
                  <w:rFonts w:ascii="Times New Roman PS Std;serif" w:hAnsi="Times New Roman PS Std;serif"/>
                  <w:b w:val="false"/>
                  <w:i w:val="false"/>
                  <w:caps w:val="false"/>
                  <w:smallCaps w:val="false"/>
                  <w:sz w:val="20"/>
                </w:rPr>
                <w:t xml:space="preserve">Delivery of Proxy Materials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r>
      <w:tr>
        <w:trPr/>
        <w:tc>
          <w:tcPr>
            <w:tcW w:w="9338" w:type="dxa"/>
            <w:tcBorders/>
            <w:vAlign w:val="center"/>
          </w:tcPr>
          <w:p>
            <w:pPr>
              <w:pStyle w:val="TableContents"/>
              <w:keepNext w:val="false"/>
              <w:widowControl/>
              <w:pBdr/>
              <w:bidi w:val="0"/>
              <w:spacing w:before="0" w:after="283"/>
              <w:ind w:left="200" w:right="0" w:hanging="200"/>
              <w:jc w:val="left"/>
              <w:rPr/>
            </w:pPr>
            <w:hyperlink w:anchor="T9950">
              <w:r>
                <w:rPr>
                  <w:rStyle w:val="InternetLink"/>
                  <w:rFonts w:ascii="Times New Roman PS Std;serif" w:hAnsi="Times New Roman PS Std;serif"/>
                  <w:b w:val="false"/>
                  <w:i w:val="false"/>
                  <w:caps w:val="false"/>
                  <w:smallCaps w:val="false"/>
                  <w:sz w:val="20"/>
                </w:rPr>
                <w:t xml:space="preserve">Available Information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r>
      <w:tr>
        <w:trPr/>
        <w:tc>
          <w:tcPr>
            <w:tcW w:w="9338" w:type="dxa"/>
            <w:tcBorders/>
            <w:shd w:fill="CCEEFF" w:val="clear"/>
            <w:vAlign w:val="center"/>
          </w:tcPr>
          <w:p>
            <w:pPr>
              <w:pStyle w:val="TableContents"/>
              <w:keepNext w:val="false"/>
              <w:widowControl/>
              <w:pBdr/>
              <w:bidi w:val="0"/>
              <w:spacing w:before="120" w:after="283"/>
              <w:ind w:left="200" w:right="0" w:hanging="200"/>
              <w:jc w:val="left"/>
              <w:rPr/>
            </w:pPr>
            <w:hyperlink w:anchor="T99501">
              <w:r>
                <w:rPr>
                  <w:rStyle w:val="InternetLink"/>
                  <w:rFonts w:ascii="Times New Roman PS Std;serif" w:hAnsi="Times New Roman PS Std;serif"/>
                  <w:b w:val="false"/>
                  <w:i w:val="false"/>
                  <w:caps w:val="false"/>
                  <w:smallCaps w:val="false"/>
                  <w:sz w:val="20"/>
                </w:rPr>
                <w:t xml:space="preserve">PRIVACY NOTICE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12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br/>
        <w:t>8 Sound Shore Drive, Suite 255</w:t>
        <w:br/>
        <w:t>Greenwich, Connecticut 06830</w:t>
        <w:br/>
        <w:t>(203) 983-5275</w:t>
      </w:r>
    </w:p>
    <w:p>
      <w:pPr>
        <w:pStyle w:val="TextBody"/>
        <w:keepNext w:val="true"/>
        <w:pageBreakBefore w:val="false"/>
        <w:widowControl/>
        <w:pBdr/>
        <w:bidi w:val="0"/>
        <w:spacing w:before="0" w:after="283"/>
        <w:jc w:val="center"/>
        <w:rPr>
          <w:rFonts w:ascii="Times New Roman PS Std;serif" w:hAnsi="Times New Roman PS Std;serif"/>
          <w:b/>
          <w:i w:val="false"/>
          <w:caps/>
          <w:sz w:val="12"/>
        </w:rPr>
      </w:pPr>
      <w:r>
        <w:rPr>
          <w:rFonts w:ascii="Times New Roman PS Std;serif" w:hAnsi="Times New Roman PS Std;serif"/>
          <w:b/>
          <w:i w:val="false"/>
          <w:caps/>
          <w:sz w:val="12"/>
        </w:rPr>
        <w:t>_____________________________________</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bookmarkStart w:id="3" w:name="T991"/>
      <w:bookmarkEnd w:id="3"/>
      <w:r>
        <w:rPr>
          <w:rFonts w:ascii="Times New Roman PS Std;serif" w:hAnsi="Times New Roman PS Std;serif"/>
          <w:b/>
          <w:i w:val="false"/>
          <w:caps/>
          <w:sz w:val="20"/>
        </w:rPr>
        <w:t>PROXY STATEMENT</w:t>
      </w:r>
      <w:r>
        <w:rPr>
          <w:rFonts w:ascii="Times New Roman PS Std;serif" w:hAnsi="Times New Roman PS Std;serif"/>
          <w:b w:val="false"/>
          <w:i w:val="false"/>
          <w:caps/>
          <w:sz w:val="20"/>
        </w:rPr>
        <w:t xml:space="preserve"> </w:t>
      </w:r>
    </w:p>
    <w:p>
      <w:pPr>
        <w:pStyle w:val="TextBody"/>
        <w:keepNext w:val="fals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2026 Annual Meeting of Stockholders</w:t>
      </w:r>
    </w:p>
    <w:p>
      <w:pPr>
        <w:pStyle w:val="TextBody"/>
        <w:keepNext w:val="true"/>
        <w:pageBreakBefore w:val="false"/>
        <w:widowControl/>
        <w:pBdr/>
        <w:bidi w:val="0"/>
        <w:spacing w:before="30" w:after="283"/>
        <w:jc w:val="center"/>
        <w:rPr>
          <w:rFonts w:ascii="Times New Roman PS Std;serif" w:hAnsi="Times New Roman PS Std;serif"/>
          <w:b/>
          <w:i w:val="false"/>
          <w:caps/>
          <w:sz w:val="12"/>
        </w:rPr>
      </w:pPr>
      <w:r>
        <w:rPr>
          <w:rFonts w:ascii="Times New Roman PS Std;serif" w:hAnsi="Times New Roman PS Std;serif"/>
          <w:b/>
          <w:i w:val="false"/>
          <w:caps/>
          <w:sz w:val="12"/>
        </w:rPr>
        <w:t>_____________________________________</w:t>
      </w:r>
    </w:p>
    <w:p>
      <w:pPr>
        <w:pStyle w:val="TextBody"/>
        <w:keepNext w:val="false"/>
        <w:pageBreakBefore w:val="false"/>
        <w:widowControl/>
        <w:pBdr/>
        <w:bidi w:val="0"/>
        <w:spacing w:before="240" w:after="283"/>
        <w:jc w:val="center"/>
        <w:rPr>
          <w:rFonts w:ascii="Times New Roman PS Std;serif" w:hAnsi="Times New Roman PS Std;serif"/>
          <w:b w:val="false"/>
          <w:i w:val="false"/>
          <w:caps w:val="false"/>
          <w:smallCaps w:val="false"/>
          <w:sz w:val="20"/>
        </w:rPr>
      </w:pPr>
      <w:bookmarkStart w:id="4" w:name="T992"/>
      <w:bookmarkEnd w:id="4"/>
      <w:r>
        <w:rPr>
          <w:rFonts w:ascii="Times New Roman PS Std;serif" w:hAnsi="Times New Roman PS Std;serif"/>
          <w:b/>
          <w:i w:val="false"/>
          <w:caps w:val="false"/>
          <w:smallCaps w:val="false"/>
          <w:sz w:val="20"/>
        </w:rPr>
        <w:t>General</w:t>
      </w:r>
      <w:r>
        <w:rPr>
          <w:rFonts w:ascii="Times New Roman PS Std;serif" w:hAnsi="Times New Roman PS Std;serif"/>
          <w:b w:val="false"/>
          <w:i w:val="false"/>
          <w:caps w:val="false"/>
          <w:smallCaps w:val="false"/>
          <w:sz w:val="20"/>
        </w:rPr>
        <w:t xml:space="preserve">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This proxy statement (the “Proxy Statement”) is furnished in connection with the solicitation of proxies by the Board of Directors (the “Board of Directors” or the “Board”) of Oxford Square Capital Corp. (the “Company,” “OXSQ,” “we,” “us” or “our”) for use at the Company’s 2026 Annual Meeting of Stockholders (the “Annual Meeting”) to be held on August 20, 2026, at 9:00 a.m., Eastern Time, in the second floor conference room of the Company’s corporate headquarters located at 8 Sound Shore Drive, Greenwich, Connecticut 06830, and at any postponements or adjournments thereof. This Proxy Statement, the Notice of 2026 Annual Meeting of Stockholders and the Annual Report of the Company for the year ended December 31, 2025 are being provided to the stockholders of the Company via the Internet at </w:t>
      </w:r>
      <w:r>
        <w:rPr>
          <w:rFonts w:ascii="Times New Roman PS Std;serif" w:hAnsi="Times New Roman PS Std;serif"/>
          <w:b w:val="false"/>
          <w:i/>
          <w:caps w:val="false"/>
          <w:smallCaps w:val="false"/>
          <w:sz w:val="20"/>
        </w:rPr>
        <w:t>https://www.proxy-direct.com/oxf-35172</w:t>
      </w:r>
      <w:r>
        <w:rPr>
          <w:rFonts w:ascii="Times New Roman PS Std;serif" w:hAnsi="Times New Roman PS Std;serif"/>
          <w:b w:val="false"/>
          <w:i w:val="false"/>
          <w:caps w:val="false"/>
          <w:smallCaps w:val="false"/>
          <w:sz w:val="20"/>
        </w:rPr>
        <w:t xml:space="preserve"> on or about July 8, 2026. In addition, a Notice of Internet Availability of Proxy Materials is being sent to stockholders of record of the Company on or about July 8,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encourage you to vote your shares, either by voting in person at the Annual Meeting or by granting a proxy (</w:t>
      </w:r>
      <w:r>
        <w:rPr>
          <w:rFonts w:ascii="Times New Roman PS Std;serif" w:hAnsi="Times New Roman PS Std;serif"/>
          <w:b w:val="false"/>
          <w:i/>
          <w:caps w:val="false"/>
          <w:smallCaps w:val="false"/>
          <w:sz w:val="20"/>
        </w:rPr>
        <w:t>i.e.</w:t>
      </w:r>
      <w:r>
        <w:rPr>
          <w:rFonts w:ascii="Times New Roman PS Std;serif" w:hAnsi="Times New Roman PS Std;serif"/>
          <w:b w:val="false"/>
          <w:i w:val="false"/>
          <w:caps w:val="false"/>
          <w:smallCaps w:val="false"/>
          <w:sz w:val="20"/>
        </w:rPr>
        <w:t>, authorizing someone to vote your shares). If you provide voting instructions, either via the Internet, by telephone or by mail, and the Company receives them in time for the Annual Meeting, the persons named as proxies will vote your shares in the manner that you specified.</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 w:name="T993"/>
      <w:bookmarkEnd w:id="5"/>
      <w:r>
        <w:rPr>
          <w:rFonts w:ascii="Times New Roman PS Std;serif" w:hAnsi="Times New Roman PS Std;serif"/>
          <w:b/>
          <w:i w:val="false"/>
          <w:caps w:val="false"/>
          <w:smallCaps w:val="false"/>
          <w:sz w:val="20"/>
        </w:rPr>
        <w:t xml:space="preserve">Annual Meeting Information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6" w:name="T994"/>
      <w:bookmarkEnd w:id="6"/>
      <w:r>
        <w:rPr>
          <w:rFonts w:ascii="Times New Roman PS Std;serif" w:hAnsi="Times New Roman PS Std;serif"/>
          <w:b/>
          <w:i w:val="false"/>
          <w:caps w:val="false"/>
          <w:smallCaps w:val="false"/>
          <w:sz w:val="20"/>
        </w:rPr>
        <w:t xml:space="preserve">Date and Location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hold the Annual Meeting in the second floor conference room of the Company’s corporate headquarters located at 8 Sound Shore Drive, Greenwich, Connecticut 06830, on August 20, 2026 at 9:00 a.m., Eastern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reserve the right to reconsider the date, time, and/or means of convening the Annual Meeting, including holding the Annual Meeting by means of remote communications. If we take this step, we will announce the decision to do so in advance, and details on how to participate in the meeting will be issued by press release and filed with the Securities and Exchange Commission (“SEC”) as additional proxy material. We urge you to retain your control or proxy voting number after you vote in case changes are made to the meeting format and such information is again required.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7" w:name="T995"/>
      <w:bookmarkEnd w:id="7"/>
      <w:r>
        <w:rPr>
          <w:rFonts w:ascii="Times New Roman PS Std;serif" w:hAnsi="Times New Roman PS Std;serif"/>
          <w:b/>
          <w:i w:val="false"/>
          <w:caps w:val="false"/>
          <w:smallCaps w:val="false"/>
          <w:sz w:val="20"/>
        </w:rPr>
        <w:t xml:space="preserve">Attendance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are entitled to attend the Annual Meeting only if you were a stockholder of the Company as of the close of business on the record date for the Annual Meeting, which is June 30, 2026 (the “Record Date”), or you hold a valid proxy for the Annual Meeting. You must present valid photo identification, such as a driver’s license or passport, for admittance. If you are not a stockholder of record of the Company but hold shares as a beneficial owner in street name, in order to attend the Annual Meeting you must also provide proof of beneficial ownership, such as your most recent account statement prior to the Record Date, a copy of the voting instruction form provided by your broker, bank, trustee, or nominee, or other similar evidence of ownership of shares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seating is limited, admission to the Annual Meeting will be on a first-come, first-served basis. If you do not comply with the procedures outlined above, you will not be admitted to the Annual Meeting. For security reasons, you and your bags will be subject to search prior to your admittance to the Annual Meeting.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8" w:name="T996"/>
      <w:bookmarkEnd w:id="8"/>
      <w:r>
        <w:rPr>
          <w:rFonts w:ascii="Times New Roman PS Std;serif" w:hAnsi="Times New Roman PS Std;serif"/>
          <w:b/>
          <w:i w:val="false"/>
          <w:caps w:val="false"/>
          <w:smallCaps w:val="false"/>
          <w:sz w:val="20"/>
        </w:rPr>
        <w:t xml:space="preserve">Availability of Proxy and Annual Meeting Materials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This Proxy Statement, the Notice of 2026 Annual Meeting of Stockholders and the accompanying Annual Report of the Company for the fiscal year ended December 31, 2025 are available at </w:t>
      </w:r>
      <w:r>
        <w:rPr>
          <w:rFonts w:ascii="Times New Roman PS Std;serif" w:hAnsi="Times New Roman PS Std;serif"/>
          <w:b w:val="false"/>
          <w:i/>
          <w:caps w:val="false"/>
          <w:smallCaps w:val="false"/>
          <w:sz w:val="20"/>
        </w:rPr>
        <w:t>https://www.proxy-direct.com/oxf-35172</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9" w:name="T997"/>
      <w:bookmarkEnd w:id="9"/>
      <w:r>
        <w:rPr>
          <w:rFonts w:ascii="Times New Roman PS Std;serif" w:hAnsi="Times New Roman PS Std;serif"/>
          <w:b/>
          <w:i w:val="false"/>
          <w:caps w:val="false"/>
          <w:smallCaps w:val="false"/>
          <w:sz w:val="20"/>
        </w:rPr>
        <w:t xml:space="preserve">Purpose of Annual Meeting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Annual Meeting, you will be asked to vote on the following proposals:</w:t>
      </w:r>
    </w:p>
    <w:tbl>
      <w:tblPr>
        <w:tblW w:w="10205" w:type="dxa"/>
        <w:jc w:val="left"/>
        <w:tblInd w:w="0" w:type="dxa"/>
        <w:tblLayout w:type="fixed"/>
        <w:tblCellMar>
          <w:top w:w="0" w:type="dxa"/>
          <w:left w:w="0" w:type="dxa"/>
          <w:bottom w:w="0" w:type="dxa"/>
          <w:right w:w="0" w:type="dxa"/>
        </w:tblCellMar>
      </w:tblPr>
      <w:tblGrid>
        <w:gridCol w:w="1195"/>
        <w:gridCol w:w="146"/>
        <w:gridCol w:w="8864"/>
      </w:tblGrid>
      <w:tr>
        <w:trPr/>
        <w:tc>
          <w:tcPr>
            <w:tcW w:w="1195" w:type="dxa"/>
            <w:tcBorders/>
            <w:vAlign w:val="center"/>
          </w:tcPr>
          <w:p>
            <w:pPr>
              <w:pStyle w:val="TableContents"/>
              <w:keepNext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Proposal 1 — </w:t>
            </w:r>
          </w:p>
        </w:tc>
        <w:tc>
          <w:tcPr>
            <w:tcW w:w="146" w:type="dxa"/>
            <w:tcBorders/>
            <w:vAlign w:val="center"/>
          </w:tcPr>
          <w:p>
            <w:pPr>
              <w:pStyle w:val="TableContents"/>
              <w:bidi w:val="0"/>
              <w:spacing w:before="0" w:after="283"/>
              <w:jc w:val="left"/>
              <w:rPr/>
            </w:pPr>
            <w:r>
              <w:rPr/>
              <w:t> </w:t>
            </w:r>
          </w:p>
        </w:tc>
        <w:tc>
          <w:tcPr>
            <w:tcW w:w="8864" w:type="dxa"/>
            <w:tcBorders/>
            <w:vAlign w:val="center"/>
          </w:tcPr>
          <w:p>
            <w:pPr>
              <w:pStyle w:val="TableContents"/>
              <w:keepNext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elect two directors to serve until the 2029 Annual Meeting of Stockholders or until his respective successor is duly elected and qualified;</w:t>
            </w:r>
          </w:p>
        </w:tc>
      </w:tr>
      <w:tr>
        <w:trPr/>
        <w:tc>
          <w:tcPr>
            <w:tcW w:w="1195" w:type="dxa"/>
            <w:tcBorders/>
            <w:vAlign w:val="center"/>
          </w:tcPr>
          <w:p>
            <w:pPr>
              <w:pStyle w:val="TableContents"/>
              <w:keepNext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Proposal 2 — </w:t>
            </w:r>
          </w:p>
        </w:tc>
        <w:tc>
          <w:tcPr>
            <w:tcW w:w="146" w:type="dxa"/>
            <w:tcBorders/>
            <w:vAlign w:val="center"/>
          </w:tcPr>
          <w:p>
            <w:pPr>
              <w:pStyle w:val="TableContents"/>
              <w:bidi w:val="0"/>
              <w:spacing w:before="0" w:after="283"/>
              <w:jc w:val="left"/>
              <w:rPr/>
            </w:pPr>
            <w:r>
              <w:rPr/>
              <w:t> </w:t>
            </w:r>
          </w:p>
        </w:tc>
        <w:tc>
          <w:tcPr>
            <w:tcW w:w="8864" w:type="dxa"/>
            <w:tcBorders/>
            <w:vAlign w:val="center"/>
          </w:tcPr>
          <w:p>
            <w:pPr>
              <w:pStyle w:val="TableContents"/>
              <w:keepNext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ratify the selection of Ernst &amp; Young LLP to serve as the Company’s independent registered public accounting firm for the fiscal year ending December 31, 2026; and</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transact such other business as may properly come before the Annual Meeting and any adjournments or postponements.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0" w:name="T998"/>
      <w:bookmarkEnd w:id="10"/>
      <w:r>
        <w:rPr>
          <w:rFonts w:ascii="Times New Roman PS Std;serif" w:hAnsi="Times New Roman PS Std;serif"/>
          <w:b/>
          <w:i w:val="false"/>
          <w:caps w:val="false"/>
          <w:smallCaps w:val="false"/>
          <w:sz w:val="20"/>
        </w:rPr>
        <w:t xml:space="preserve">Voting Information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11" w:name="T999"/>
      <w:bookmarkEnd w:id="11"/>
      <w:r>
        <w:rPr>
          <w:rFonts w:ascii="Times New Roman PS Std;serif" w:hAnsi="Times New Roman PS Std;serif"/>
          <w:b/>
          <w:i w:val="false"/>
          <w:caps w:val="false"/>
          <w:smallCaps w:val="false"/>
          <w:sz w:val="20"/>
        </w:rPr>
        <w:t xml:space="preserve">General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OXSQ’S BOARD OF DIRECTORS, INCLUDING ALL THE INDEPENDENT DIRECTORS (AS DEFINED BELOW), UNANIMOUSLY RECOMMENDS THAT YOU VOTE: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OXSQ’s DIRECTOR NOMINEES DESCRIBED IN THIS PROXY STATEMENT (PROPOSAL 1),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THE PROPOSAL TO RATIFY THE APPOINTMENT OF ERNST &amp; YOUNG LLP AS THE INDEPENDENT REGISTERED PUBLIC ACCOUNTING FIRM FOR OXSQ FOR THE FISCAL YEAR ENDING DECEMBER 31, 2026 (PROPOSAL 2).</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12" w:name="T9910"/>
      <w:bookmarkEnd w:id="12"/>
      <w:r>
        <w:rPr>
          <w:rFonts w:ascii="Times New Roman PS Std;serif" w:hAnsi="Times New Roman PS Std;serif"/>
          <w:b/>
          <w:i w:val="false"/>
          <w:caps w:val="false"/>
          <w:smallCaps w:val="false"/>
          <w:sz w:val="20"/>
        </w:rPr>
        <w:t xml:space="preserve">Record Date and Voting Securities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may vote your shares of the Company’s common stock, in person or by proxy, at the Annual Meeting only if you were a stockholder of record at the close of business on the Record Date. All shares of the Company’s common stock have equal voting rights and are the only class of voting securities outstanding. On the Record Date, there were 105,058,242 shares of the Company’s common stock outstanding. Each share of common stock is entitled to one vote.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13" w:name="T9911"/>
      <w:bookmarkEnd w:id="13"/>
      <w:r>
        <w:rPr>
          <w:rFonts w:ascii="Times New Roman PS Std;serif" w:hAnsi="Times New Roman PS Std;serif"/>
          <w:b/>
          <w:i w:val="false"/>
          <w:caps w:val="false"/>
          <w:smallCaps w:val="false"/>
          <w:sz w:val="20"/>
        </w:rPr>
        <w:t xml:space="preserve">Quorum Required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quorum must be present at the Annual Meeting for any business to be conducted. The presence at the Annual Meeting, in person or by proxy, of the holders of a majority of the shares of common stock outstanding on the Record Date, or 52,529,122 shares of the Company’s common stock, will constitute a quorum. Abstentions will be treated as shares present for quorum purposes. Shares for which brokers have not received voting instructions from the beneficial owner of the shares and do not have discretionary authority to vote on a proposal at the Annual Meeting (which are considered “Broker Non-Votes” with respect to such proposal) will be treated as shares present for quorum purposes. However, abstentions and Broker Non-Votes are not counted as votes cast. If a quorum is not present, the Annual Meeting may be adjourned pursuant to the provisions of the Company’s bylaws until a quorum is present. The persons named as proxies will vote those proxies for such adjournment, unless marked to be voted against any proposal for which an adjournment is sought, to permit the further solicitation of proxies.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14" w:name="T99502"/>
      <w:bookmarkEnd w:id="14"/>
      <w:r>
        <w:rPr>
          <w:rFonts w:ascii="Times New Roman PS Std;serif" w:hAnsi="Times New Roman PS Std;serif"/>
          <w:b/>
          <w:i w:val="false"/>
          <w:caps w:val="false"/>
          <w:smallCaps w:val="false"/>
          <w:sz w:val="20"/>
        </w:rPr>
        <w:t xml:space="preserve">Voting Your Shares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the record holder of your shares, you may vote by submitting your proxy by telephone, over the Internet, by mail, or in person at the Annual Meeting.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 may vote your shares by telephone or over the Internet by following the instructions set forth on the Notice of Internet Availability of Proxy Materials. We encourage you to vote via the Internet, as it saves us significant time and processing costs.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you request hard copies of the Proxy Statement and proxy card, you may vote by mail by completing, dating and signing the proxy card and promptly mailing it in the enclosed postage-paid envelope. You do not need to put a stamp on the enclosed envelope if you mail it in the United States. The shares you own will be voted according to the instructions on the proxy card you mail. If you return the proxy card, but do not give any instructions on a particular matter described in this Proxy Statement, the shares you own will be voted in accordance with the recommendations of our Board of Directors. Our Board of Directors recommends that you vote FOR the director nominees and FOR the ratification of the selection of Ernst &amp; Young LLP to serve as the Company’s independent registered public accounting firm for the Company for the fiscal year ending December 31, 2026.</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you attend the Annual Meeting and are a registered stockholder, you may vote by completing a ballot available at the Annual Meeting, or, if you requested a hard copy of the proxy card, by delivering your completed proxy card in person at the Annual Meeting.</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bookmarkStart w:id="15" w:name="T9912"/>
      <w:bookmarkEnd w:id="15"/>
      <w:r>
        <w:rPr>
          <w:rFonts w:ascii="Times New Roman PS Std;serif" w:hAnsi="Times New Roman PS Std;serif"/>
          <w:b/>
          <w:i w:val="false"/>
          <w:caps w:val="false"/>
          <w:smallCaps w:val="false"/>
          <w:sz w:val="20"/>
        </w:rPr>
        <w:t xml:space="preserve">Submitting Voting Instructions for Shares Held Through a Broker, Bank, Trustee, or Nominee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you hold shares of the Company’s common stock through a broker, bank, trustee, or nominee (“Broker Securities”), you must follow the voting instructions you receive from your broker, bank, trustee, or nominee. If you hold Broker Securities and you want to vote in person at the Annual Meeting, you must obtain a legal proxy from the record holder of your shares and present it at the Annual Meeting. </w:t>
      </w:r>
      <w:r>
        <w:rPr>
          <w:rFonts w:ascii="Times New Roman PS Std;serif" w:hAnsi="Times New Roman PS Std;serif"/>
          <w:b/>
          <w:i w:val="false"/>
          <w:caps w:val="false"/>
          <w:smallCaps w:val="false"/>
          <w:sz w:val="20"/>
        </w:rPr>
        <w:t>Please instruct your broker, bank, trustee, or nominee so your vote can be counted.</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bookmarkStart w:id="16" w:name="T9913"/>
      <w:bookmarkEnd w:id="16"/>
      <w:r>
        <w:rPr>
          <w:rFonts w:ascii="Times New Roman PS Std;serif" w:hAnsi="Times New Roman PS Std;serif"/>
          <w:b/>
          <w:i w:val="false"/>
          <w:caps w:val="false"/>
          <w:smallCaps w:val="false"/>
          <w:sz w:val="20"/>
        </w:rPr>
        <w:t xml:space="preserve">Discretionary Voting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New York Stock Exchange (the “NYSE”) Rule 452 and the corresponding Listed Company Manual Section 402.08, discretionary voting by banks or brokers of Broker Securities is generally prohibited, subject to the exceptions as discussed in this paragraph. If you do not give instructions to your bank or broker within ten days of the Annual Meeting, the bank or broker may vote Broker Securities with respect to matters that the NYSE determines to be “routine,” but will not be permitted to vote your Broker Securities with respect to “non-routine” items. At the Annual Meeting, brokers will have discretionary authority to vote shares on the ratification of the appointment of our independent registered public accounting firm (Proposal 2), which is the only routine proposal to be presented at the meeting. However, when a matter to be voted on at a stockholder’s meeting is the subject of a contested solicitation, brokers do not have discretion to vote Broker Securities on any matters at the Annual Meeting, to the extent they have provided you with the opposition party’s proxy materials. When a bank or broker has not received instructions from the beneficial owners of Broker Securities or persons entitled to vote any Broker Securities, and the bank or broker cannot vote on a particular matter because it is not “routine,” then there is a “broker non-vote” on that matter. Broker non-votes will be counted in determining whether there is a quorum for the Annual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Please note that to be sure your vote is counted on all of the proposals to be considered at the Annual Meeting, including the election of directors, you should instruct your broker, bank, trustee, or nominee how to vote any Broker Securities. If you do not provide voting instructions, votes may not be cast on your behalf with respect to those “non-routine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matters.</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bookmarkStart w:id="17" w:name="T9914"/>
      <w:bookmarkEnd w:id="17"/>
      <w:r>
        <w:rPr>
          <w:rFonts w:ascii="Times New Roman PS Std;serif" w:hAnsi="Times New Roman PS Std;serif"/>
          <w:b/>
          <w:i w:val="false"/>
          <w:caps w:val="false"/>
          <w:smallCaps w:val="false"/>
          <w:sz w:val="20"/>
        </w:rPr>
        <w:t xml:space="preserve">Authorizing a Proxy for Shares Held in Your Name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record holder of shares of the Company’s common stock, you may authorize a proxy to vote on your behalf by following the instructions provided on the enclosed proxy card. Authorizing your proxy will not limit your right to vote in person at the Annual Meeting. A properly completed and submitted proxy will be voted in accordance with your instructions, unless you subsequently revoke your instructions. If you authorize a proxy without indicating your voting instructions, the proxyholder will vote your shares according to the Board’s recommendations. Internet and telephone voting procedures are designed to authenticate the stockholder’s identity and to allow stockholders to vote their shares and confirm that their instructions have been properly recorded. Your telephone or Internet vote authorizes the named proxies to vote your shares in the same manner as if you had marked, signed and returned a proxy card.</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bookmarkStart w:id="18" w:name="T9915"/>
      <w:bookmarkEnd w:id="18"/>
      <w:r>
        <w:rPr>
          <w:rFonts w:ascii="Times New Roman PS Std;serif" w:hAnsi="Times New Roman PS Std;serif"/>
          <w:b/>
          <w:i w:val="false"/>
          <w:caps w:val="false"/>
          <w:smallCaps w:val="false"/>
          <w:sz w:val="20"/>
        </w:rPr>
        <w:t xml:space="preserve">Receipt of Multiple Proxy Cards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Many of our stockholders hold their shares in more than one account and may receive separate proxy cards or voting instruction forms for each of those accounts. To ensure that all of your shares are represented at the Annual Meeting, we recommend that you vote every proxy card you receive.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19" w:name="T9916"/>
      <w:bookmarkEnd w:id="19"/>
      <w:r>
        <w:rPr>
          <w:rFonts w:ascii="Times New Roman PS Std;serif" w:hAnsi="Times New Roman PS Std;serif"/>
          <w:b/>
          <w:i w:val="false"/>
          <w:caps w:val="false"/>
          <w:smallCaps w:val="false"/>
          <w:sz w:val="20"/>
        </w:rPr>
        <w:t xml:space="preserve">Revoking Your Proxy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“stockholder of record” (</w:t>
      </w:r>
      <w:r>
        <w:rPr>
          <w:rFonts w:ascii="Times New Roman PS Std;serif" w:hAnsi="Times New Roman PS Std;serif"/>
          <w:b w:val="false"/>
          <w:i/>
          <w:caps w:val="false"/>
          <w:smallCaps w:val="false"/>
          <w:sz w:val="20"/>
        </w:rPr>
        <w:t>i.e.,</w:t>
      </w:r>
      <w:r>
        <w:rPr>
          <w:rFonts w:ascii="Times New Roman PS Std;serif" w:hAnsi="Times New Roman PS Std;serif"/>
          <w:b w:val="false"/>
          <w:i w:val="false"/>
          <w:caps w:val="false"/>
          <w:smallCaps w:val="false"/>
          <w:sz w:val="20"/>
        </w:rPr>
        <w:t xml:space="preserve"> you hold shares directly in your name), you may revoke a proxy at any time before it is exercised by: (i) submitting a later-dated proxy that we receive no later than the conclusion of voting at the Annual Meeting; or (ii) voting in person at the Annual Meeting. If you hold Broker Securities, you must follow the instructions you receive from them in order to revoke your voting instructions. Attending the Annual Meeting does not revoke your proxy unless you also vote in person at the Annual Meeting. Stockholders have no dissenters’ or appraisal rights in connection with any of the proposals described herein.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20" w:name="T9917"/>
      <w:bookmarkEnd w:id="20"/>
      <w:r>
        <w:rPr>
          <w:rFonts w:ascii="Times New Roman PS Std;serif" w:hAnsi="Times New Roman PS Std;serif"/>
          <w:b/>
          <w:i w:val="false"/>
          <w:caps w:val="false"/>
          <w:smallCaps w:val="false"/>
          <w:sz w:val="20"/>
        </w:rPr>
        <w:t xml:space="preserve">Vote Required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Proposal 1 — Election of Directors.    </w:t>
      </w:r>
      <w:r>
        <w:rPr>
          <w:rFonts w:ascii="Times New Roman PS Std;serif" w:hAnsi="Times New Roman PS Std;serif"/>
          <w:b w:val="false"/>
          <w:i w:val="false"/>
          <w:caps w:val="false"/>
          <w:smallCaps w:val="false"/>
          <w:sz w:val="20"/>
        </w:rPr>
        <w:t xml:space="preserve">A plurality of all votes cast at a meeting of stockholders duly called and at which a quorum is present shall be sufficient to elect a director. Stockholders may not cumulate their votes. If you vote “Withhold” with respect to the Company’s Board nominees, your shares will not be voted with respect to the person indicated. Abstentions and Broker Non-Votes, if any, will not be included in determining the number of votes cast and, as a result, will have no effect on this proposal. </w:t>
      </w:r>
      <w:r>
        <w:rPr>
          <w:rFonts w:ascii="Times New Roman PS Std;serif" w:hAnsi="Times New Roman PS Std;serif"/>
          <w:b/>
          <w:i w:val="false"/>
          <w:caps w:val="false"/>
          <w:smallCaps w:val="false"/>
          <w:sz w:val="20"/>
        </w:rPr>
        <w:t>This proposal is considered a “non-routine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matter”; accordingly, brokers cannot vote on this proposal unless they have received voting instructions from the beneficial owner of Broker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Proposal 2 — Ratification of Independent Registered Public Accounting Firm.    </w:t>
      </w:r>
      <w:r>
        <w:rPr>
          <w:rFonts w:ascii="Times New Roman PS Std;serif" w:hAnsi="Times New Roman PS Std;serif"/>
          <w:b w:val="false"/>
          <w:i w:val="false"/>
          <w:caps w:val="false"/>
          <w:smallCaps w:val="false"/>
          <w:sz w:val="20"/>
        </w:rPr>
        <w:t>The affirmative vote of a majority of the votes cast at the Annual Meeting in person or by proxy is required to ratify the appointment of Ernst &amp; Young LLP to serve as the Company’s independent registered public accounting firm for the fiscal year ending December 31, 2026 (</w:t>
      </w:r>
      <w:r>
        <w:rPr>
          <w:rFonts w:ascii="Times New Roman PS Std;serif" w:hAnsi="Times New Roman PS Std;serif"/>
          <w:b w:val="false"/>
          <w:i/>
          <w:caps w:val="false"/>
          <w:smallCaps w:val="false"/>
          <w:sz w:val="20"/>
        </w:rPr>
        <w:t>i.e.</w:t>
      </w:r>
      <w:r>
        <w:rPr>
          <w:rFonts w:ascii="Times New Roman PS Std;serif" w:hAnsi="Times New Roman PS Std;serif"/>
          <w:b w:val="false"/>
          <w:i w:val="false"/>
          <w:caps w:val="false"/>
          <w:smallCaps w:val="false"/>
          <w:sz w:val="20"/>
        </w:rPr>
        <w:t xml:space="preserve">, the number of shares voted “for” the ratification of the appointment of Ernst &amp; Young LLP exceeds the number of votes “against” the ratification of the appointment of Ernst &amp; Young LLP). Abstentions, if any, will not be included in determining the number of votes cast and, as a result, will have no effect on this proposal. </w:t>
      </w:r>
      <w:r>
        <w:rPr>
          <w:rFonts w:ascii="Times New Roman PS Std;serif" w:hAnsi="Times New Roman PS Std;serif"/>
          <w:b/>
          <w:i w:val="false"/>
          <w:caps w:val="false"/>
          <w:smallCaps w:val="false"/>
          <w:sz w:val="20"/>
        </w:rPr>
        <w:t>This proposal is considered a “routine matter”; accordingly, brokers have discretionary authority to vote on this proposal without receiving voting instructions from the beneficial owner of Broker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Additional Solicitation.    </w:t>
      </w:r>
      <w:r>
        <w:rPr>
          <w:rFonts w:ascii="Times New Roman PS Std;serif" w:hAnsi="Times New Roman PS Std;serif"/>
          <w:b w:val="false"/>
          <w:i w:val="false"/>
          <w:caps w:val="false"/>
          <w:smallCaps w:val="false"/>
          <w:sz w:val="20"/>
        </w:rPr>
        <w:t>If there are not enough votes to approve any proposals at the Annual Meeting, the chairman of the meeting or the stockholders who are represented may adjourn the Annual Meeting to permit the further solicitation of proxies. The persons named as proxies will vote those proxies for such adjournment, unless marked to be voted against any proposal for which an adjournment is sought, to permit the further solicitation of proxies. Also, a stockholder vote may be taken on one or more of the proposals in this Proxy Statement prior to any such adjournment if there are sufficient votes for approval of such proposal(s).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1" w:name="T9918"/>
      <w:bookmarkEnd w:id="21"/>
      <w:r>
        <w:rPr>
          <w:rFonts w:ascii="Times New Roman PS Std;serif" w:hAnsi="Times New Roman PS Std;serif"/>
          <w:b/>
          <w:i w:val="false"/>
          <w:caps w:val="false"/>
          <w:smallCaps w:val="false"/>
          <w:sz w:val="20"/>
        </w:rPr>
        <w:t xml:space="preserve">Participants in the Solicitation of Proxies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applicable SEC regulations, the Company, its directors and certain of its executive officers, the officers and employees of Oxford Square Management, LLC, the Company’s investment adviser (“Oxford Square Management”), and the officers and employees of Oxford Funds, LLC, the Company’s administrator (“Oxford Funds”), may be deemed to be participants in the solicitation of proxies from OXSQ’s stockholders in connection with the Annual Meeting. Oxford Square Management and Oxford Funds are both located at 8 Sound Shore Drive, Suite 255, Greenwich, CT 06830. No additional compensation will be paid to directors, officers or regular employees of the Company, Oxford Square Management or Oxford Funds for soliciting proxies in connection with the Annual Meeting.</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2" w:name="T9919"/>
      <w:bookmarkEnd w:id="22"/>
      <w:r>
        <w:rPr>
          <w:rFonts w:ascii="Times New Roman PS Std;serif" w:hAnsi="Times New Roman PS Std;serif"/>
          <w:b/>
          <w:i w:val="false"/>
          <w:caps w:val="false"/>
          <w:smallCaps w:val="false"/>
          <w:sz w:val="20"/>
        </w:rPr>
        <w:t xml:space="preserve">Information Regarding This Solicitation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is making this proxy solicitation and the Company will bear the expense of the solicitation of proxies for the Annual Meeting, including the cost of preparing, printing and mailing this Proxy Statement, the accompanying Notice of Annual Meeting of Stockholders, and proxy card. If brokers, trustees, or fiduciaries and other institutions or nominees holding shares in their names, or in the name of their nominees, which are beneficially owned by others, forward the proxy materials to, and obtain proxies from, such beneficial owners, the Company will reimburse such persons for their reasonable expenses in so doing.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3" w:name="T9920"/>
      <w:bookmarkEnd w:id="23"/>
      <w:r>
        <w:rPr>
          <w:rFonts w:ascii="Times New Roman PS Std;serif" w:hAnsi="Times New Roman PS Std;serif"/>
          <w:b/>
          <w:i w:val="false"/>
          <w:caps/>
          <w:sz w:val="20"/>
        </w:rPr>
        <w:t xml:space="preserve">SECURITY OWNERSHIP OF CERTAIN BENEFICIAL OWNERS AND MANAGEMENT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as of the Record Date, the beneficial ownership of each current director, the director nominees, the Company’s executive officers, each person known to us to beneficially own more than 5% of the outstanding shares of our common stock, and the executive officers and directors as a group.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Beneficial ownership is determined in accordance with the rules of the SEC and includes voting or investment power with respect to the securities. Ownership information for those persons who beneficially own more than 5% of our shares of common stock is based upon Schedule 13D and Schedule 13G filings by such persons with the SEC and other information obtained from such persons, if available.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indicated, the Company believes that each beneficial owner set forth in the table has sole voting and investment power and has the same address as the Company. The Company’s current address is 8 Sound Shore Drive, Suite 255, Greenwich, Connecticut 06830.</w:t>
      </w:r>
    </w:p>
    <w:tbl>
      <w:tblPr>
        <w:tblW w:w="8619" w:type="dxa"/>
        <w:jc w:val="left"/>
        <w:tblInd w:w="0" w:type="dxa"/>
        <w:tblLayout w:type="fixed"/>
        <w:tblCellMar>
          <w:top w:w="0" w:type="dxa"/>
          <w:left w:w="0" w:type="dxa"/>
          <w:bottom w:w="0" w:type="dxa"/>
          <w:right w:w="0" w:type="dxa"/>
        </w:tblCellMar>
      </w:tblPr>
      <w:tblGrid>
        <w:gridCol w:w="5236"/>
        <w:gridCol w:w="146"/>
        <w:gridCol w:w="1396"/>
        <w:gridCol w:w="146"/>
        <w:gridCol w:w="921"/>
        <w:gridCol w:w="774"/>
      </w:tblGrid>
      <w:tr>
        <w:trPr/>
        <w:tc>
          <w:tcPr>
            <w:tcW w:w="523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Beneficial Owner</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Shares </w:t>
              <w:br/>
              <w:t xml:space="preserve">Beneficially </w:t>
              <w:br/>
              <w:t>Owned(1)</w:t>
            </w:r>
          </w:p>
        </w:tc>
        <w:tc>
          <w:tcPr>
            <w:tcW w:w="146" w:type="dxa"/>
            <w:tcBorders/>
            <w:vAlign w:val="center"/>
          </w:tcPr>
          <w:p>
            <w:pPr>
              <w:pStyle w:val="TableContents"/>
              <w:bidi w:val="0"/>
              <w:spacing w:before="0" w:after="283"/>
              <w:jc w:val="left"/>
              <w:rPr/>
            </w:pPr>
            <w:r>
              <w:rPr/>
              <w:t> </w:t>
            </w:r>
          </w:p>
        </w:tc>
        <w:tc>
          <w:tcPr>
            <w:tcW w:w="1695"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of </w:t>
              <w:br/>
              <w:t>Class(2)</w:t>
            </w:r>
          </w:p>
        </w:tc>
      </w:tr>
      <w:tr>
        <w:trPr/>
        <w:tc>
          <w:tcPr>
            <w:tcW w:w="523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Interested Directors</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left"/>
              <w:rPr/>
            </w:pPr>
            <w:r>
              <w:rPr/>
              <w:t> </w:t>
            </w:r>
          </w:p>
        </w:tc>
        <w:tc>
          <w:tcPr>
            <w:tcW w:w="774"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3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Jonathan H. Cohen(3)</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2,419,091</w:t>
            </w:r>
          </w:p>
        </w:tc>
        <w:tc>
          <w:tcPr>
            <w:tcW w:w="146" w:type="dxa"/>
            <w:tcBorders/>
            <w:vAlign w:val="center"/>
          </w:tcPr>
          <w:p>
            <w:pPr>
              <w:pStyle w:val="TableContents"/>
              <w:bidi w:val="0"/>
              <w:spacing w:before="0" w:after="283"/>
              <w:jc w:val="left"/>
              <w:rPr/>
            </w:pPr>
            <w:r>
              <w:rPr/>
              <w:t> </w:t>
            </w:r>
          </w:p>
        </w:tc>
        <w:tc>
          <w:tcPr>
            <w:tcW w:w="9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774"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3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Charles M. Royce(4)</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2,127,470</w:t>
            </w:r>
          </w:p>
        </w:tc>
        <w:tc>
          <w:tcPr>
            <w:tcW w:w="146"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774"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3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Independent Directors</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left"/>
              <w:rPr/>
            </w:pPr>
            <w:r>
              <w:rPr/>
              <w:t> </w:t>
            </w:r>
          </w:p>
        </w:tc>
        <w:tc>
          <w:tcPr>
            <w:tcW w:w="774"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23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Steven P. Novak</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30,001</w:t>
            </w:r>
          </w:p>
        </w:tc>
        <w:tc>
          <w:tcPr>
            <w:tcW w:w="146"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74"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3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Barry A. Osherow</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1,863</w:t>
            </w:r>
          </w:p>
        </w:tc>
        <w:tc>
          <w:tcPr>
            <w:tcW w:w="146" w:type="dxa"/>
            <w:tcBorders/>
            <w:vAlign w:val="center"/>
          </w:tcPr>
          <w:p>
            <w:pPr>
              <w:pStyle w:val="TableContents"/>
              <w:bidi w:val="0"/>
              <w:spacing w:before="0" w:after="283"/>
              <w:jc w:val="left"/>
              <w:rPr/>
            </w:pPr>
            <w:r>
              <w:rPr/>
              <w:t> </w:t>
            </w:r>
          </w:p>
        </w:tc>
        <w:tc>
          <w:tcPr>
            <w:tcW w:w="9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74"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3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George Stelljes III</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34,000</w:t>
            </w:r>
          </w:p>
        </w:tc>
        <w:tc>
          <w:tcPr>
            <w:tcW w:w="146"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74"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3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Executive Officers</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left"/>
              <w:rPr/>
            </w:pPr>
            <w:r>
              <w:rPr/>
              <w:t> </w:t>
            </w:r>
          </w:p>
        </w:tc>
        <w:tc>
          <w:tcPr>
            <w:tcW w:w="774"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23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Saul B. Rosenthal(3)</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2,203,377</w:t>
            </w:r>
          </w:p>
        </w:tc>
        <w:tc>
          <w:tcPr>
            <w:tcW w:w="146"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774"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3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Bruce L. Rubin</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10,949</w:t>
            </w:r>
          </w:p>
        </w:tc>
        <w:tc>
          <w:tcPr>
            <w:tcW w:w="146" w:type="dxa"/>
            <w:tcBorders/>
            <w:vAlign w:val="center"/>
          </w:tcPr>
          <w:p>
            <w:pPr>
              <w:pStyle w:val="TableContents"/>
              <w:bidi w:val="0"/>
              <w:spacing w:before="0" w:after="283"/>
              <w:jc w:val="left"/>
              <w:rPr/>
            </w:pPr>
            <w:r>
              <w:rPr/>
              <w:t> </w:t>
            </w:r>
          </w:p>
        </w:tc>
        <w:tc>
          <w:tcPr>
            <w:tcW w:w="9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74"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3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Gerald Cummins</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774"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3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Executive Officers and Directors as a Group(5)</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6,824,853</w:t>
            </w:r>
          </w:p>
        </w:tc>
        <w:tc>
          <w:tcPr>
            <w:tcW w:w="146" w:type="dxa"/>
            <w:tcBorders/>
            <w:vAlign w:val="center"/>
          </w:tcPr>
          <w:p>
            <w:pPr>
              <w:pStyle w:val="TableContents"/>
              <w:bidi w:val="0"/>
              <w:spacing w:before="0" w:after="283"/>
              <w:jc w:val="left"/>
              <w:rPr/>
            </w:pPr>
            <w:r>
              <w:rPr/>
              <w:t> </w:t>
            </w:r>
          </w:p>
        </w:tc>
        <w:tc>
          <w:tcPr>
            <w:tcW w:w="9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c>
          <w:tcPr>
            <w:tcW w:w="774"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Represents less than one percent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Beneficial ownership has been determined in accordance with Rule 13d-3 under the Securities Exchange Act of 1934, as amended (the “Exchange Act”). Assumes no other purchases or sales of our common stock since the information most recently available to us as of the Record Date. This assumption has been made under the rules and regulations of the SEC and does not reflect any knowledge that we have with regard to the present intent of the beneficial owners of our common stock listed in this table. Any fractional shares owned directly or beneficially have been rounded down for purposes of this table.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Based on a total of 105,058,242 shares of the Company’s common stock issued and outstanding on the Record Date.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Includes 1,898 shares held by Oxford Funds, which may be deemed to be beneficially owned by Messrs. Cohen and Rosenthal by virtue of their ownership interests therein.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Mr. Royce may be deemed to beneficially own 1,267,324 shares held by Royce Family Investments, LLC and 860,146 shares held by Royce Family Fund, Inc. Mr. Royce disclaims beneficial ownership of any shares directly held by Royce Family Fund, Inc. The address for both of these entities is 745 Fifth Avenue, New York, New York 10151.</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The approximately 1,898 shares held by Oxford Funds, described in footnote 3 above, are included in the number of shares held by each of Mr. Cohen and Mr. Rosenthal, but are only counted once in the total held by the executive officers and directors as a group.</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 forth below is the dollar range of equity securities beneficially owned by each of our directors as of the Record Date.</w:t>
      </w:r>
    </w:p>
    <w:tbl>
      <w:tblPr>
        <w:tblW w:w="5278" w:type="dxa"/>
        <w:jc w:val="left"/>
        <w:tblInd w:w="0" w:type="dxa"/>
        <w:tblLayout w:type="fixed"/>
        <w:tblCellMar>
          <w:top w:w="0" w:type="dxa"/>
          <w:left w:w="0" w:type="dxa"/>
          <w:bottom w:w="0" w:type="dxa"/>
          <w:right w:w="0" w:type="dxa"/>
        </w:tblCellMar>
      </w:tblPr>
      <w:tblGrid>
        <w:gridCol w:w="2581"/>
        <w:gridCol w:w="146"/>
        <w:gridCol w:w="2551"/>
      </w:tblGrid>
      <w:tr>
        <w:trPr/>
        <w:tc>
          <w:tcPr>
            <w:tcW w:w="258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Director</w:t>
            </w:r>
          </w:p>
        </w:tc>
        <w:tc>
          <w:tcPr>
            <w:tcW w:w="146" w:type="dxa"/>
            <w:tcBorders/>
            <w:vAlign w:val="center"/>
          </w:tcPr>
          <w:p>
            <w:pPr>
              <w:pStyle w:val="TableContents"/>
              <w:bidi w:val="0"/>
              <w:spacing w:before="0" w:after="283"/>
              <w:jc w:val="left"/>
              <w:rPr/>
            </w:pPr>
            <w:r>
              <w:rPr/>
              <w:t> </w:t>
            </w:r>
          </w:p>
        </w:tc>
        <w:tc>
          <w:tcPr>
            <w:tcW w:w="255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Dollar Range of Equity </w:t>
              <w:br/>
              <w:t xml:space="preserve">Securities Beneficially </w:t>
              <w:br/>
              <w:t>Owned(1)(2)</w:t>
            </w:r>
          </w:p>
        </w:tc>
      </w:tr>
      <w:tr>
        <w:trPr/>
        <w:tc>
          <w:tcPr>
            <w:tcW w:w="258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Interested Directors</w:t>
            </w:r>
          </w:p>
        </w:tc>
        <w:tc>
          <w:tcPr>
            <w:tcW w:w="146" w:type="dxa"/>
            <w:tcBorders/>
            <w:shd w:fill="CCEEFF" w:val="clear"/>
            <w:vAlign w:val="center"/>
          </w:tcPr>
          <w:p>
            <w:pPr>
              <w:pStyle w:val="TableContents"/>
              <w:bidi w:val="0"/>
              <w:spacing w:before="0" w:after="283"/>
              <w:jc w:val="left"/>
              <w:rPr/>
            </w:pPr>
            <w:r>
              <w:rPr/>
              <w:t> </w:t>
            </w:r>
          </w:p>
        </w:tc>
        <w:tc>
          <w:tcPr>
            <w:tcW w:w="2551" w:type="dxa"/>
            <w:tcBorders/>
            <w:shd w:fill="CCEEFF" w:val="clear"/>
            <w:vAlign w:val="center"/>
          </w:tcPr>
          <w:p>
            <w:pPr>
              <w:pStyle w:val="TableContents"/>
              <w:bidi w:val="0"/>
              <w:spacing w:before="0" w:after="283"/>
              <w:jc w:val="left"/>
              <w:rPr/>
            </w:pPr>
            <w:r>
              <w:rPr/>
              <w:t> </w:t>
            </w:r>
          </w:p>
        </w:tc>
      </w:tr>
      <w:tr>
        <w:trPr/>
        <w:tc>
          <w:tcPr>
            <w:tcW w:w="258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Jonathan H. Cohen</w:t>
            </w:r>
          </w:p>
        </w:tc>
        <w:tc>
          <w:tcPr>
            <w:tcW w:w="146" w:type="dxa"/>
            <w:tcBorders/>
            <w:vAlign w:val="center"/>
          </w:tcPr>
          <w:p>
            <w:pPr>
              <w:pStyle w:val="TableContents"/>
              <w:bidi w:val="0"/>
              <w:spacing w:before="0" w:after="283"/>
              <w:jc w:val="left"/>
              <w:rPr/>
            </w:pPr>
            <w:r>
              <w:rPr/>
              <w:t> </w:t>
            </w:r>
          </w:p>
        </w:tc>
        <w:tc>
          <w:tcPr>
            <w:tcW w:w="2551"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Over $100,000</w:t>
            </w:r>
          </w:p>
        </w:tc>
      </w:tr>
      <w:tr>
        <w:trPr/>
        <w:tc>
          <w:tcPr>
            <w:tcW w:w="258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Charles M. Royce</w:t>
            </w:r>
          </w:p>
        </w:tc>
        <w:tc>
          <w:tcPr>
            <w:tcW w:w="146" w:type="dxa"/>
            <w:tcBorders/>
            <w:shd w:fill="CCEEFF" w:val="clear"/>
            <w:vAlign w:val="center"/>
          </w:tcPr>
          <w:p>
            <w:pPr>
              <w:pStyle w:val="TableContents"/>
              <w:bidi w:val="0"/>
              <w:spacing w:before="0" w:after="283"/>
              <w:jc w:val="left"/>
              <w:rPr/>
            </w:pPr>
            <w:r>
              <w:rPr/>
              <w:t> </w:t>
            </w:r>
          </w:p>
        </w:tc>
        <w:tc>
          <w:tcPr>
            <w:tcW w:w="2551"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Over $100,000</w:t>
            </w:r>
          </w:p>
        </w:tc>
      </w:tr>
      <w:tr>
        <w:trPr/>
        <w:tc>
          <w:tcPr>
            <w:tcW w:w="258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Independent Directors</w:t>
            </w:r>
          </w:p>
        </w:tc>
        <w:tc>
          <w:tcPr>
            <w:tcW w:w="146" w:type="dxa"/>
            <w:tcBorders/>
            <w:vAlign w:val="center"/>
          </w:tcPr>
          <w:p>
            <w:pPr>
              <w:pStyle w:val="TableContents"/>
              <w:bidi w:val="0"/>
              <w:spacing w:before="0" w:after="283"/>
              <w:jc w:val="left"/>
              <w:rPr/>
            </w:pPr>
            <w:r>
              <w:rPr/>
              <w:t> </w:t>
            </w:r>
          </w:p>
        </w:tc>
        <w:tc>
          <w:tcPr>
            <w:tcW w:w="2551" w:type="dxa"/>
            <w:tcBorders/>
            <w:vAlign w:val="center"/>
          </w:tcPr>
          <w:p>
            <w:pPr>
              <w:pStyle w:val="TableContents"/>
              <w:bidi w:val="0"/>
              <w:spacing w:before="0" w:after="283"/>
              <w:jc w:val="left"/>
              <w:rPr/>
            </w:pPr>
            <w:r>
              <w:rPr/>
              <w:t> </w:t>
            </w:r>
          </w:p>
        </w:tc>
      </w:tr>
      <w:tr>
        <w:trPr/>
        <w:tc>
          <w:tcPr>
            <w:tcW w:w="258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Steven P. Novak</w:t>
            </w:r>
          </w:p>
        </w:tc>
        <w:tc>
          <w:tcPr>
            <w:tcW w:w="146" w:type="dxa"/>
            <w:tcBorders/>
            <w:shd w:fill="CCEEFF" w:val="clear"/>
            <w:vAlign w:val="center"/>
          </w:tcPr>
          <w:p>
            <w:pPr>
              <w:pStyle w:val="TableContents"/>
              <w:bidi w:val="0"/>
              <w:spacing w:before="0" w:after="283"/>
              <w:jc w:val="left"/>
              <w:rPr/>
            </w:pPr>
            <w:r>
              <w:rPr/>
              <w:t> </w:t>
            </w:r>
          </w:p>
        </w:tc>
        <w:tc>
          <w:tcPr>
            <w:tcW w:w="2551"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$50,001 – $100,000</w:t>
            </w:r>
          </w:p>
        </w:tc>
      </w:tr>
      <w:tr>
        <w:trPr/>
        <w:tc>
          <w:tcPr>
            <w:tcW w:w="258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Barry A. Osherow</w:t>
            </w:r>
          </w:p>
        </w:tc>
        <w:tc>
          <w:tcPr>
            <w:tcW w:w="146" w:type="dxa"/>
            <w:tcBorders/>
            <w:vAlign w:val="center"/>
          </w:tcPr>
          <w:p>
            <w:pPr>
              <w:pStyle w:val="TableContents"/>
              <w:bidi w:val="0"/>
              <w:spacing w:before="0" w:after="283"/>
              <w:jc w:val="left"/>
              <w:rPr/>
            </w:pPr>
            <w:r>
              <w:rPr/>
              <w:t> </w:t>
            </w:r>
          </w:p>
        </w:tc>
        <w:tc>
          <w:tcPr>
            <w:tcW w:w="2551"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 $10,000</w:t>
            </w:r>
          </w:p>
        </w:tc>
      </w:tr>
      <w:tr>
        <w:trPr/>
        <w:tc>
          <w:tcPr>
            <w:tcW w:w="258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George Stelljes III</w:t>
            </w:r>
          </w:p>
        </w:tc>
        <w:tc>
          <w:tcPr>
            <w:tcW w:w="146" w:type="dxa"/>
            <w:tcBorders/>
            <w:shd w:fill="CCEEFF" w:val="clear"/>
            <w:vAlign w:val="center"/>
          </w:tcPr>
          <w:p>
            <w:pPr>
              <w:pStyle w:val="TableContents"/>
              <w:bidi w:val="0"/>
              <w:spacing w:before="0" w:after="283"/>
              <w:jc w:val="left"/>
              <w:rPr/>
            </w:pPr>
            <w:r>
              <w:rPr/>
              <w:t> </w:t>
            </w:r>
          </w:p>
        </w:tc>
        <w:tc>
          <w:tcPr>
            <w:tcW w:w="2551"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$50,001 – $100,000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(1)      The dollar ranges are: None, $1 – $10,000, $10,001 – $50,000, $50,001 – $100,000, or Over $100,000.</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(2)      The dollar range of equity securities beneficially owned is based on the closing price for our common stock of $1.32 on the Record Date on the NASDAQ Global Select Market. Beneficial ownership has been determined in accordance with Rule 16a-1(a)(2) of the Exchange Act.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4" w:name="T9921"/>
      <w:bookmarkEnd w:id="24"/>
      <w:r>
        <w:rPr>
          <w:rFonts w:ascii="Times New Roman PS Std;serif" w:hAnsi="Times New Roman PS Std;serif"/>
          <w:b/>
          <w:i w:val="false"/>
          <w:caps/>
          <w:sz w:val="20"/>
        </w:rPr>
        <w:t xml:space="preserve">PROPOSAL 1: ELECTION OF DIRECTORS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Company’s bylaws, the number of directors is set at five unless otherwise designated by the Board of Directors. Directors are elected for a staggered term of three years each, with a term of office of one of the three classes of directors expiring each year. Each director will hold office for the term to which he or she is elected or until his or her respective successor is duly elected and qualified.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Steven P. Novak and Mr. Charles M. Royce have each been unanimously nominated by the Company’s Board of Directors, including the Nominating and Corporate Governance Committee, for election for a three-year term expiring in 2029. Messrs. Novak and Royce are not being proposed for election pursuant to any agreement or understanding between Messrs. Novak and Royce and the Company or any other person or entity.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stockholder can vote for or withhold his, her or its vote for OXSQ’s Board nominees. </w:t>
      </w:r>
      <w:r>
        <w:rPr>
          <w:rFonts w:ascii="Times New Roman PS Std;serif" w:hAnsi="Times New Roman PS Std;serif"/>
          <w:b/>
          <w:i w:val="false"/>
          <w:caps w:val="false"/>
          <w:smallCaps w:val="false"/>
          <w:sz w:val="20"/>
        </w:rPr>
        <w:t>In the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 xml:space="preserve">absence of instructions to the contrary, it is the intention of the persons named as proxies to vote such proxy “FOR” the election of the OXSQ’s nominees named above. If either of OXSQ’s Board nominees should decline or be unable to serve as a director, it is intended that the proxy will vote for the election of such person as is nominated by the Board of Directors as a replacement. </w:t>
      </w:r>
      <w:r>
        <w:rPr>
          <w:rFonts w:ascii="Times New Roman PS Std;serif" w:hAnsi="Times New Roman PS Std;serif"/>
          <w:b w:val="false"/>
          <w:i w:val="false"/>
          <w:caps w:val="false"/>
          <w:smallCaps w:val="false"/>
          <w:sz w:val="20"/>
        </w:rPr>
        <w:t>OXSQ’s Board of Directors has no reason to believe that the person named above will be unable or unwilling to serve.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This proposal is considered a “non-routine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matter”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per the NYSE rules and instructions; accordingly, brokers cannot vote on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this proposal unless they have received voting instructions from the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beneficial owner of Broker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plurality of all votes cast at a meeting of stockholders duly called and at which a quorum is present shall be sufficient to elect a director. Stockholders may not cumulate their votes. If you vote “Withhold” with respect to either director nominee, your shares will not be voted with respect to the person indicated. Abstentions and Broker Non-Votes, if any, will not be included in determining the number of votes cast and, as a result, will have no effect on this proposal. This proposal is considered a “non-routine matter”; accordingly, brokers cannot vote on this proposal unless they have received voting instructions from the beneficial owner of Broker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THE BOARD OF DIRECTORS RECOMMENDS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THAT YOU VOTE “FOR” THE ELECTION OF EACH OF MR. STEVEN P. NOVAK AND MR. CHARLES M. ROYCE, OXSQ’S NOMINEES NAMED IN THIS PROXY STATEMENT.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25" w:name="T9922"/>
      <w:bookmarkEnd w:id="25"/>
      <w:r>
        <w:rPr>
          <w:rFonts w:ascii="Times New Roman PS Std;serif" w:hAnsi="Times New Roman PS Std;serif"/>
          <w:b/>
          <w:i w:val="false"/>
          <w:caps w:val="false"/>
          <w:smallCaps w:val="false"/>
          <w:sz w:val="20"/>
        </w:rPr>
        <w:t xml:space="preserve">Information About the Nominees and Directors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described below under “Committees of the Board of Directors — Nominating and Corporate Governance Committee,” the Board of Directors has identified certain desired talents and experience for director nominees. Each of our directors and the director nominees has demonstrated high character and integrity; the knowledge, skills and experience necessary to be able to offer advice and guidance to our management in light of prevailing business conditions; familiarity with business matters; experience with accounting rules and practices; appreciation of the relationship of our business to the changing needs of society; and the desire to complement the considerable benefit of continuity with the benefit of diverse view points and perspectives. Each of our directors and the director nominees also has sufficient time available to devote to the affairs of the Company, is able to work with the other members of the Board of Directors and contribute to the success of the Company and can represent the long-term interests of the Company’s stockholders as a whole. Our directors and the director nominees have been selected such that the Board of Directors represents a diverse range of backgrounds and experience. All of our directors are encouraged to attend the Annual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information, as of the Record Date, with respect to the Company’s director nominees for election at the Annual Meeting, as well as each of the current directors, is set forth below, including their names, ages, a brief description of their recent business experience, including present occupations and employment, certain directorships that each person holds, the year in which each person became a director of the Company, and a discussion of their particular experience, qualifications, attributes or skills that lead us to conclude, as of the Record Date, that such individual should serve as a director of the Company, in light of the Company’s business and structure.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business address of the nominees and the directors listed below is 8 Sound Shore Drive, Suite 255, Greenwich, Connecticut 06830.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Nominee for Director — Term Expiring 2029</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Interested Director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Mr. Royce is an interested person as defined in the Investment Company Act of 1940, as amended (the “1940 Act”)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due to his ownership of a minority, non-controlling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interest in the Company’s investment adviser, Oxford Square Management.</w:t>
      </w:r>
    </w:p>
    <w:tbl>
      <w:tblPr>
        <w:tblW w:w="10205" w:type="dxa"/>
        <w:jc w:val="left"/>
        <w:tblInd w:w="0" w:type="dxa"/>
        <w:tblLayout w:type="fixed"/>
        <w:tblCellMar>
          <w:top w:w="0" w:type="dxa"/>
          <w:left w:w="0" w:type="dxa"/>
          <w:bottom w:w="0" w:type="dxa"/>
          <w:right w:w="0" w:type="dxa"/>
        </w:tblCellMar>
      </w:tblPr>
      <w:tblGrid>
        <w:gridCol w:w="1247"/>
        <w:gridCol w:w="146"/>
        <w:gridCol w:w="556"/>
        <w:gridCol w:w="146"/>
        <w:gridCol w:w="8110"/>
      </w:tblGrid>
      <w:tr>
        <w:trPr/>
        <w:tc>
          <w:tcPr>
            <w:tcW w:w="1247"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and Year</w:t>
              <w:br/>
              <w:t>First Elected Director</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center"/>
          </w:tcPr>
          <w:p>
            <w:pPr>
              <w:pStyle w:val="TableContents"/>
              <w:bidi w:val="0"/>
              <w:spacing w:before="0" w:after="283"/>
              <w:jc w:val="left"/>
              <w:rPr/>
            </w:pPr>
            <w:r>
              <w:rPr/>
              <w:t> </w:t>
            </w:r>
          </w:p>
        </w:tc>
        <w:tc>
          <w:tcPr>
            <w:tcW w:w="8110"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Background Information</w:t>
            </w:r>
          </w:p>
        </w:tc>
      </w:tr>
      <w:tr>
        <w:trPr/>
        <w:tc>
          <w:tcPr>
            <w:tcW w:w="1247"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Charles M. Royce (2003)</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w:t>
            </w:r>
          </w:p>
        </w:tc>
        <w:tc>
          <w:tcPr>
            <w:tcW w:w="146" w:type="dxa"/>
            <w:tcBorders/>
            <w:vAlign w:val="center"/>
          </w:tcPr>
          <w:p>
            <w:pPr>
              <w:pStyle w:val="TableContents"/>
              <w:bidi w:val="0"/>
              <w:spacing w:before="0" w:after="283"/>
              <w:jc w:val="left"/>
              <w:rPr/>
            </w:pPr>
            <w:r>
              <w:rPr/>
              <w:t> </w:t>
            </w:r>
          </w:p>
        </w:tc>
        <w:tc>
          <w:tcPr>
            <w:tcW w:w="8110"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Royce is the founder of Royce &amp; Associates, LP, and served as Chief Executive Officer from 1972 to 2016, and Chairman of the Board from 2016 to 2024. Mr. Royce’s history with us, familiarity with our investment platform, and extensive knowledge of the financial services industry and the investment valuation process in particular qualify him to serve as a member of our Board of Directors.</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Independent Director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Mr. Novak is not an interested person as defined in the 1940 Act.</w:t>
      </w:r>
    </w:p>
    <w:tbl>
      <w:tblPr>
        <w:tblW w:w="10205" w:type="dxa"/>
        <w:jc w:val="left"/>
        <w:tblInd w:w="0" w:type="dxa"/>
        <w:tblLayout w:type="fixed"/>
        <w:tblCellMar>
          <w:top w:w="0" w:type="dxa"/>
          <w:left w:w="0" w:type="dxa"/>
          <w:bottom w:w="0" w:type="dxa"/>
          <w:right w:w="0" w:type="dxa"/>
        </w:tblCellMar>
      </w:tblPr>
      <w:tblGrid>
        <w:gridCol w:w="1049"/>
        <w:gridCol w:w="146"/>
        <w:gridCol w:w="556"/>
        <w:gridCol w:w="146"/>
        <w:gridCol w:w="8308"/>
      </w:tblGrid>
      <w:tr>
        <w:trPr/>
        <w:tc>
          <w:tcPr>
            <w:tcW w:w="1049"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and Year</w:t>
              <w:br/>
              <w:t>First Elected Director</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center"/>
          </w:tcPr>
          <w:p>
            <w:pPr>
              <w:pStyle w:val="TableContents"/>
              <w:bidi w:val="0"/>
              <w:spacing w:before="0" w:after="283"/>
              <w:jc w:val="left"/>
              <w:rPr/>
            </w:pPr>
            <w:r>
              <w:rPr/>
              <w:t> </w:t>
            </w:r>
          </w:p>
        </w:tc>
        <w:tc>
          <w:tcPr>
            <w:tcW w:w="8308"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Background Information</w:t>
            </w:r>
          </w:p>
        </w:tc>
      </w:tr>
      <w:tr>
        <w:trPr/>
        <w:tc>
          <w:tcPr>
            <w:tcW w:w="1049"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Steven P. Novak (2003)</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w:t>
            </w:r>
          </w:p>
        </w:tc>
        <w:tc>
          <w:tcPr>
            <w:tcW w:w="146" w:type="dxa"/>
            <w:tcBorders/>
            <w:vAlign w:val="center"/>
          </w:tcPr>
          <w:p>
            <w:pPr>
              <w:pStyle w:val="TableContents"/>
              <w:bidi w:val="0"/>
              <w:spacing w:before="0" w:after="283"/>
              <w:jc w:val="left"/>
              <w:rPr/>
            </w:pPr>
            <w:r>
              <w:rPr/>
              <w:t> </w:t>
            </w:r>
          </w:p>
        </w:tc>
        <w:tc>
          <w:tcPr>
            <w:tcW w:w="8308"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Novak has extensive capital markets, venture, and public company investing experience. He held senior positions at Harris BankCorp, Sanford C Bernstein &amp; Company (now Alliance Bernstein), Forstmann-Leff &amp; Associates, and Unterberg Harris, before founding Palladio Capital Management LLC, where he managed an investment partnership. In addition to his work in finance, Mr. Novak founded Mederi Therapeutics, where he served as Chairman and CFO, to acquire the assets of Curon Medical. Mr. Novak also founded Quisk, Inc., a software firm that built a next-generation mobile payments platform and served as its Chairman and CEO. Mr. Novak currently serves as Chief Financial Officer and Chief Compliance Officer of LMI Group International, Inc., a company that authenticates works of art within a private equity investment model, utilizing both traditional techniques as well as advancing the use of scientific computing in the cultural heritage context. A Chartered Financial Analyst, Mr. Novak is a seasoned Board member at early-stage companies, frequently chairing the Audit Committee. In addition to the aforementioned companies, he served on the Boards of CyberSource, Cytomation, DAKO, and Aperio Technologies, all of which were acquired by other firms. Mr. Novak received a Bachelor of Science degree from Purdue University and an M.B.A. from Harvard University. Mr. Novak’s financial expertise from his experience as a financial manager and varied roles on the boards of both publicly-traded and privately-held companies qualifies him to serve as chairman of our Board of Directors and provides our Board of Directors with particular technology-related knowledge and the perspective of a knowledgeable corporate leader.</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Directors — Term Expiring 2027</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Interested Director</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Mr. Cohen is an interested person as defined in the 1940 Act due to his position as Chief Executive Officer of the Company and Oxford Square Management, and managing member of Oxford Funds.</w:t>
      </w:r>
    </w:p>
    <w:tbl>
      <w:tblPr>
        <w:tblW w:w="10205" w:type="dxa"/>
        <w:jc w:val="left"/>
        <w:tblInd w:w="0" w:type="dxa"/>
        <w:tblLayout w:type="fixed"/>
        <w:tblCellMar>
          <w:top w:w="0" w:type="dxa"/>
          <w:left w:w="0" w:type="dxa"/>
          <w:bottom w:w="0" w:type="dxa"/>
          <w:right w:w="0" w:type="dxa"/>
        </w:tblCellMar>
      </w:tblPr>
      <w:tblGrid>
        <w:gridCol w:w="1067"/>
        <w:gridCol w:w="146"/>
        <w:gridCol w:w="556"/>
        <w:gridCol w:w="146"/>
        <w:gridCol w:w="8290"/>
      </w:tblGrid>
      <w:tr>
        <w:trPr/>
        <w:tc>
          <w:tcPr>
            <w:tcW w:w="1067"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and Year</w:t>
              <w:br/>
              <w:t>First Elected Director</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center"/>
          </w:tcPr>
          <w:p>
            <w:pPr>
              <w:pStyle w:val="TableContents"/>
              <w:bidi w:val="0"/>
              <w:spacing w:before="0" w:after="283"/>
              <w:jc w:val="left"/>
              <w:rPr/>
            </w:pPr>
            <w:r>
              <w:rPr/>
              <w:t> </w:t>
            </w:r>
          </w:p>
        </w:tc>
        <w:tc>
          <w:tcPr>
            <w:tcW w:w="8290"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Background Information</w:t>
            </w:r>
          </w:p>
        </w:tc>
      </w:tr>
      <w:tr>
        <w:trPr/>
        <w:tc>
          <w:tcPr>
            <w:tcW w:w="1067"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Jonathan H. Cohen (2003)</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c>
          <w:tcPr>
            <w:tcW w:w="146" w:type="dxa"/>
            <w:tcBorders/>
            <w:vAlign w:val="center"/>
          </w:tcPr>
          <w:p>
            <w:pPr>
              <w:pStyle w:val="TableContents"/>
              <w:bidi w:val="0"/>
              <w:spacing w:before="0" w:after="283"/>
              <w:jc w:val="left"/>
              <w:rPr/>
            </w:pPr>
            <w:r>
              <w:rPr/>
              <w:t> </w:t>
            </w:r>
          </w:p>
        </w:tc>
        <w:tc>
          <w:tcPr>
            <w:tcW w:w="8290"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Cohen has served as Chief Executive Officer of both the Company and Oxford Square Management, and as the managing member of Oxford Funds, since 2003. Mr. Cohen has also served as Chief Executive Officer and Director of Oxford Lane Capital Corp. (NasdaqGS: OXLC), a registered closed-end fund (“Oxford Lane Capital Corp.”), and as Chief Executive Officer of Oxford Lane Management, LLC, the investment adviser to Oxford Lane Capital Corp. (“Oxford Lane Management”), since 2010. Since 2023, Mr. Cohen has also served as Chief Executive Officer and Director of Oxford Park Income Fund, Inc., a non-traded registered closed-end fund (“Oxford Park Income Fund, Inc.”), and as Chief Executive Officer of Oxford Park Management, LLC, the investment adviser to Oxford Park Income Fund, Inc. (“Oxford Park Management”). Since 2018, Mr. Cohen has also served as the Chief Executive Officer of Oxford Gate Management, LLC (“Oxford Gate Management”), the investment adviser to Oxford Gate Master Fund, LLC, Oxford Gate, LLC and Oxford Gate (Bermuda), LLC (collectively, the “Oxford Gate Funds”). The Oxford Gate Funds are private investment funds. Previously, Mr. Cohen managed technology equity research groups at Wit Capital, Merrill Lynch, UBS and Smith Barney. Mr. Cohen received a B.A. in Economics from Connecticut College and an M.B.A. from Columbia University. Mr. Cohen’s depth of experience in managerial positions in investment management, securities research and financial services, as well as his intimate knowledge of our business and operations, gives our Board of Directors valuable industry-specific knowledge and expertise on these and other matters.</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Independent Director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Mr. Stelljes is not an interested person as defined in the 1940 Act.</w:t>
      </w:r>
    </w:p>
    <w:tbl>
      <w:tblPr>
        <w:tblW w:w="10205" w:type="dxa"/>
        <w:jc w:val="left"/>
        <w:tblInd w:w="0" w:type="dxa"/>
        <w:tblLayout w:type="fixed"/>
        <w:tblCellMar>
          <w:top w:w="0" w:type="dxa"/>
          <w:left w:w="0" w:type="dxa"/>
          <w:bottom w:w="0" w:type="dxa"/>
          <w:right w:w="0" w:type="dxa"/>
        </w:tblCellMar>
      </w:tblPr>
      <w:tblGrid>
        <w:gridCol w:w="1127"/>
        <w:gridCol w:w="146"/>
        <w:gridCol w:w="556"/>
        <w:gridCol w:w="146"/>
        <w:gridCol w:w="8230"/>
      </w:tblGrid>
      <w:tr>
        <w:trPr/>
        <w:tc>
          <w:tcPr>
            <w:tcW w:w="1127"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and Year</w:t>
              <w:br/>
              <w:t>First Elected Director</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center"/>
          </w:tcPr>
          <w:p>
            <w:pPr>
              <w:pStyle w:val="TableContents"/>
              <w:bidi w:val="0"/>
              <w:spacing w:before="0" w:after="283"/>
              <w:jc w:val="left"/>
              <w:rPr/>
            </w:pPr>
            <w:r>
              <w:rPr/>
              <w:t> </w:t>
            </w:r>
          </w:p>
        </w:tc>
        <w:tc>
          <w:tcPr>
            <w:tcW w:w="8230"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Background Information</w:t>
            </w:r>
          </w:p>
        </w:tc>
      </w:tr>
      <w:tr>
        <w:trPr/>
        <w:tc>
          <w:tcPr>
            <w:tcW w:w="1127"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George Stelljes III (2016)</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c>
          <w:tcPr>
            <w:tcW w:w="146" w:type="dxa"/>
            <w:tcBorders/>
            <w:vAlign w:val="center"/>
          </w:tcPr>
          <w:p>
            <w:pPr>
              <w:pStyle w:val="TableContents"/>
              <w:bidi w:val="0"/>
              <w:spacing w:before="0" w:after="283"/>
              <w:jc w:val="left"/>
              <w:rPr/>
            </w:pPr>
            <w:r>
              <w:rPr/>
              <w:t> </w:t>
            </w:r>
          </w:p>
        </w:tc>
        <w:tc>
          <w:tcPr>
            <w:tcW w:w="8230"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Stelljes is currently the managing partner of St. John’s Capital, LLC, a vehicle used to make private equity investments. From 2001 to 2013, Mr. Stelljes held various senior positions with the Gladstone Companies, including serving as the chief investment officer, president and a director of Gladstone Capital Corporation and Gladstone Investment Corporation, both of which are business development companies, of Gladstone Commercial Corporation, a real estate investment trust, and of their registered investment adviser, Gladstone Management Corporation. From 1999 to 2001, Mr. Stelljes was a managing member of Camden Partners, a private equity firm which finances high growth companies in communications, education, healthcare and business services sectors. From 1997 to 1999, Mr. Stelljes was a managing director and partner of Columbia Capital, a venture capital firm focused on investments in communications and information technology. From 1989 to 1997, Mr. Stelljes held various positions, including executive vice president and principal, with the Allied Capital companies. From 2001 through 2012, Mr. Stelljes served as a general partner and investment committee member of Patriot Capital and Patriot Capital II, which are private equity funds. Mr. Stelljes is currently the chairman of the board of directors of Bluestone Community Development Fund, a closed-end investment company that operates as an interval fund, and a director of the Gladstone funds, which comprise five publicly traded investment funds investing in small and mid-sized companies, as well as various types of real estate. He is also a former board member and regional president of the National Association of Small Business Investment Companies. Mr. Stelljes holds an MBA from the University of Virginia and a BA in Economics from Vanderbilt University. Mr. Stelljes was selected to serve as a director on our Board of Directors due to his more than twenty-five years of experience in the investment analysis, management, and advisory industries.</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Director — Term Expiring 2028</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Mr. Osherow is not an interested person as defined in the 1940 Act.</w:t>
      </w:r>
    </w:p>
    <w:tbl>
      <w:tblPr>
        <w:tblW w:w="10205" w:type="dxa"/>
        <w:jc w:val="left"/>
        <w:tblInd w:w="0" w:type="dxa"/>
        <w:tblLayout w:type="fixed"/>
        <w:tblCellMar>
          <w:top w:w="0" w:type="dxa"/>
          <w:left w:w="0" w:type="dxa"/>
          <w:bottom w:w="0" w:type="dxa"/>
          <w:right w:w="0" w:type="dxa"/>
        </w:tblCellMar>
      </w:tblPr>
      <w:tblGrid>
        <w:gridCol w:w="1291"/>
        <w:gridCol w:w="146"/>
        <w:gridCol w:w="556"/>
        <w:gridCol w:w="146"/>
        <w:gridCol w:w="8066"/>
      </w:tblGrid>
      <w:tr>
        <w:trPr/>
        <w:tc>
          <w:tcPr>
            <w:tcW w:w="129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and Year</w:t>
              <w:br/>
              <w:t>First Elected Director</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center"/>
          </w:tcPr>
          <w:p>
            <w:pPr>
              <w:pStyle w:val="TableContents"/>
              <w:bidi w:val="0"/>
              <w:spacing w:before="0" w:after="283"/>
              <w:jc w:val="left"/>
              <w:rPr/>
            </w:pPr>
            <w:r>
              <w:rPr/>
              <w:t> </w:t>
            </w:r>
          </w:p>
        </w:tc>
        <w:tc>
          <w:tcPr>
            <w:tcW w:w="806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Background Information</w:t>
            </w:r>
          </w:p>
        </w:tc>
      </w:tr>
      <w:tr>
        <w:trPr/>
        <w:tc>
          <w:tcPr>
            <w:tcW w:w="129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Barry A. Osherow (2021)</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c>
          <w:tcPr>
            <w:tcW w:w="146" w:type="dxa"/>
            <w:tcBorders/>
            <w:vAlign w:val="center"/>
          </w:tcPr>
          <w:p>
            <w:pPr>
              <w:pStyle w:val="TableContents"/>
              <w:bidi w:val="0"/>
              <w:spacing w:before="0" w:after="283"/>
              <w:jc w:val="left"/>
              <w:rPr/>
            </w:pPr>
            <w:r>
              <w:rPr/>
              <w:t> </w:t>
            </w:r>
          </w:p>
        </w:tc>
        <w:tc>
          <w:tcPr>
            <w:tcW w:w="8066"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Osherow is currently a partner at Level Equity Management, LLC (“Level Equity”), a private investment firm focused on rapidly growing software and technology-driven businesses, and manages Level Equity’s structured capital business. Prior to joining Level Equity in 2016, Mr. Osherow held various positions with Enhanced Capital Partners, Inc., including Managing Partner and Investment Committee Member of the firm’s SBIC fund and Managing Director and Head of Debt Investments. Prior to that, Mr. Osherow was a member of the founding team of the Company and served as Principal at the Company from 2002 to 2008. Previously, Mr. Osherow was an Associate in the Private Equity Group at Wit Capital (which became SoundView Technology Group) focused on raising private equity for technology and Internet businesses and was a member of the founding team in 1996. Mr. Osherow also previously served as Vice President of Business Development at Spring Street Brewing Company and an Associate with Lehman Brothers. He graduated from Babson College with a B.S. with a concentration in International Business. Mr. Osherow was selected to serve as a director on our board of directors due to his more than twenty-five years of experience as a finance executive and extensive credit experience with middle-market companies.</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26" w:name="T9923"/>
      <w:bookmarkEnd w:id="26"/>
      <w:r>
        <w:rPr>
          <w:rFonts w:ascii="Times New Roman PS Std;serif" w:hAnsi="Times New Roman PS Std;serif"/>
          <w:b/>
          <w:i w:val="false"/>
          <w:caps w:val="false"/>
          <w:smallCaps w:val="false"/>
          <w:sz w:val="20"/>
        </w:rPr>
        <w:t xml:space="preserve">Information About Executive Officers Who Are Not Directors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information, as of the Record Date, pertains to our executive officers who are not directors of the Company.</w:t>
      </w:r>
    </w:p>
    <w:tbl>
      <w:tblPr>
        <w:tblW w:w="10205" w:type="dxa"/>
        <w:jc w:val="left"/>
        <w:tblInd w:w="0" w:type="dxa"/>
        <w:tblLayout w:type="fixed"/>
        <w:tblCellMar>
          <w:top w:w="0" w:type="dxa"/>
          <w:left w:w="0" w:type="dxa"/>
          <w:bottom w:w="0" w:type="dxa"/>
          <w:right w:w="0" w:type="dxa"/>
        </w:tblCellMar>
      </w:tblPr>
      <w:tblGrid>
        <w:gridCol w:w="1382"/>
        <w:gridCol w:w="146"/>
        <w:gridCol w:w="556"/>
        <w:gridCol w:w="146"/>
        <w:gridCol w:w="7975"/>
      </w:tblGrid>
      <w:tr>
        <w:trPr/>
        <w:tc>
          <w:tcPr>
            <w:tcW w:w="1382"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center"/>
          </w:tcPr>
          <w:p>
            <w:pPr>
              <w:pStyle w:val="TableContents"/>
              <w:bidi w:val="0"/>
              <w:spacing w:before="0" w:after="283"/>
              <w:jc w:val="left"/>
              <w:rPr/>
            </w:pPr>
            <w:r>
              <w:rPr/>
              <w:t> </w:t>
            </w:r>
          </w:p>
        </w:tc>
        <w:tc>
          <w:tcPr>
            <w:tcW w:w="7975"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Background Information</w:t>
            </w:r>
          </w:p>
        </w:tc>
      </w:tr>
      <w:tr>
        <w:trPr/>
        <w:tc>
          <w:tcPr>
            <w:tcW w:w="1382"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Saul B. Rosenthal</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c>
          <w:tcPr>
            <w:tcW w:w="146" w:type="dxa"/>
            <w:tcBorders/>
            <w:vAlign w:val="center"/>
          </w:tcPr>
          <w:p>
            <w:pPr>
              <w:pStyle w:val="TableContents"/>
              <w:bidi w:val="0"/>
              <w:spacing w:before="0" w:after="283"/>
              <w:jc w:val="left"/>
              <w:rPr/>
            </w:pPr>
            <w:r>
              <w:rPr/>
              <w:t> </w:t>
            </w:r>
          </w:p>
        </w:tc>
        <w:tc>
          <w:tcPr>
            <w:tcW w:w="7975"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Rosenthal has served as President since 2004 of the Company and Oxford Square Management, and is a member of Oxford Funds. In addition, Mr. Rosenthal has served as President and a Director of Oxford Lane Capital Corp. and as President of Oxford Lane Management, since 2010. Mr. Rosenthal has served as President and a Director of Oxford Park Income Fund, Inc. and as President of Oxford Park Management, since 2023. Mr. Rosenthal has also served as President of Oxford Gate Management since 2018. Mr. Rosenthal was previously an attorney at the law firm of Shearman &amp; Sterling LLP. Mr. Rosenthal serves on the board of the National Museum of Mathematics. Mr. Rosenthal received a B.S., magna cum laude, from the Wharton School of the University of Pennsylvania, a J.D. from Columbia University Law School, where he was a Harlan Fiske Stone Scholar, and a LL.M. (Taxation) from New York University School of Law.</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079"/>
        <w:gridCol w:w="146"/>
        <w:gridCol w:w="556"/>
        <w:gridCol w:w="146"/>
        <w:gridCol w:w="8278"/>
      </w:tblGrid>
      <w:tr>
        <w:trPr/>
        <w:tc>
          <w:tcPr>
            <w:tcW w:w="1079"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center"/>
          </w:tcPr>
          <w:p>
            <w:pPr>
              <w:pStyle w:val="TableContents"/>
              <w:bidi w:val="0"/>
              <w:spacing w:before="0" w:after="283"/>
              <w:jc w:val="left"/>
              <w:rPr/>
            </w:pPr>
            <w:r>
              <w:rPr/>
              <w:t> </w:t>
            </w:r>
          </w:p>
        </w:tc>
        <w:tc>
          <w:tcPr>
            <w:tcW w:w="8278"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Background Information</w:t>
            </w:r>
          </w:p>
        </w:tc>
      </w:tr>
      <w:tr>
        <w:trPr/>
        <w:tc>
          <w:tcPr>
            <w:tcW w:w="1079"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Bruce L. Rubin</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c>
          <w:tcPr>
            <w:tcW w:w="146" w:type="dxa"/>
            <w:tcBorders/>
            <w:vAlign w:val="center"/>
          </w:tcPr>
          <w:p>
            <w:pPr>
              <w:pStyle w:val="TableContents"/>
              <w:bidi w:val="0"/>
              <w:spacing w:before="0" w:after="283"/>
              <w:jc w:val="left"/>
              <w:rPr/>
            </w:pPr>
            <w:r>
              <w:rPr/>
              <w:t> </w:t>
            </w:r>
          </w:p>
        </w:tc>
        <w:tc>
          <w:tcPr>
            <w:tcW w:w="8278"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Rubin has served as the Company’s Chief Financial Officer, Chief Accounting Officer, and Corporate Secretary since August 2015. Mr. Rubin has served as the Company’s Controller from 2005 to 2015 and as its Treasurer since 2009. Mr. Rubin has also served as Oxford Lane Capital Corp.’s Chief Financial Officer, Chief Accounting Officer, and Corporate Secretary since August 2015. Mr. Rubin has served as Oxford Lane Capital Corp.’s Controller from 2005 to 2015 and as its Treasurer since 2009. Since 2023, Mr. Rubin has also served as Chief Financial Officer, Corporate Secretary and Treasurer of Oxford Park Income Fund, Inc. Mr. Rubin also currently serves as the Chief Financial Officer and Secretary of Oxford Lane Management, Oxford Square Management, Oxford Park Management, Oxford Funds and Oxford Gate Management. From 1995 to 2003, Mr. Rubin was the Assistant Treasurer &amp; Director of Financial Planning of the New York Mercantile Exchange, Inc., the largest physical commodities futures exchange in the world and has extensive experience with the Sarbanes-Oxley Act of 2002 (“Sarbanes-Oxley”), treasury operations and SEC reporting requirements. From 1989 to 1995, Mr. Rubin was a manager in financial operations for the American Stock Exchange, where he was primarily responsible for budgeting matters. Mr. Rubin began his career in commercial banking as an auditor primarily of the commercial lending and municipal bond dealer areas. Mr. Rubin received his BBA in Accounting from Hofstra University where he also obtained his M.B.A. in Finance.</w:t>
            </w:r>
          </w:p>
        </w:tc>
      </w:tr>
      <w:tr>
        <w:trPr/>
        <w:tc>
          <w:tcPr>
            <w:tcW w:w="1079" w:type="dxa"/>
            <w:tcBorders/>
            <w:vAlign w:val="center"/>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Gerald Cummins</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w:t>
            </w:r>
          </w:p>
        </w:tc>
        <w:tc>
          <w:tcPr>
            <w:tcW w:w="146" w:type="dxa"/>
            <w:tcBorders/>
            <w:vAlign w:val="center"/>
          </w:tcPr>
          <w:p>
            <w:pPr>
              <w:pStyle w:val="TableContents"/>
              <w:bidi w:val="0"/>
              <w:spacing w:before="0" w:after="283"/>
              <w:jc w:val="left"/>
              <w:rPr/>
            </w:pPr>
            <w:r>
              <w:rPr/>
              <w:t> </w:t>
            </w:r>
          </w:p>
        </w:tc>
        <w:tc>
          <w:tcPr>
            <w:tcW w:w="8278" w:type="dxa"/>
            <w:tcBorders/>
            <w:vAlign w:val="center"/>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Cummins has served as the Company’s Chief Compliance Officer since June 2015 pursuant to an agreement between the Company and ACA Group, LLC, a compliance consulting firm. Mr. Cummins also currently serves as the Chief Compliance Officer of Oxford Square Management, Oxford Lane Capital Corp., Oxford Lane Management, Oxford Gate Management, Oxford Park Income Fund, Inc., Oxford Park Management and Oxford Funds. Mr. Cummins has been a director of ACA Group, LLC or its predecessor firms since June 2014 and in that capacity he also serves as the Chief Compliance Officer to four unaffiliated business development companies (“BDCs”) and three private credit managers. Prior to joining ACA Group, LLC, Mr. Cummins was a consultant for Barclays Capital Inc. from 2012 to 2013, where he participated in numerous compliance projects on pricing and valuation, compliance assessments, and compliance policy and procedure development. Prior to his consulting work at Barclays, Mr. Cummins was from 2010 to 2011 the Chief Operating Officer and the Chief Compliance Officer for BroadArch Capital and from 2009 to 2011 the Chief Financial Officer and Chief Compliance Officer to its predecessor New Castle Funds, a long-short equity asset manager. Prior to that, Mr. Cummins spent 25 years at Bear Stearns Asset Management (BSAM), where he was a Managing Director and held senior compliance, controllers and operations risk positions. Mr. Cummins graduated with a B.A. in Mathematics from Fordham University.</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27" w:name="T9924"/>
      <w:bookmarkEnd w:id="27"/>
      <w:r>
        <w:rPr>
          <w:rFonts w:ascii="Times New Roman PS Std;serif" w:hAnsi="Times New Roman PS Std;serif"/>
          <w:b/>
          <w:i w:val="false"/>
          <w:caps w:val="false"/>
          <w:smallCaps w:val="false"/>
          <w:sz w:val="20"/>
        </w:rPr>
        <w:t xml:space="preserve">Board Leadership Structure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monitors and performs an oversight role with respect to the business and affairs of the Company, including with respect to investment practices and performance, compliance with regulatory requirements and the services, expenses and performance of service providers to the Company. Among other things, our Board of Directors approves the appointment of our investment adviser and officers, reviews and monitors the services and activities performed by our investment adviser and executive officers, and approves the engagement, and reviews the performance, of our independent registered public accounting firm.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Under our bylaws, our Board of Directors may designate a Chairman to preside over the meetings of our Board of Directors and meetings of the stockholders and to perform such other duties as may be assigned to him by our Board of Directors. Mr. Novak serves as the Chairman of our Board of Directors. Mr. Novak is not an “interested person” of the Company as defined in Section 2(a)(19) of the 1940 Act. We believe that Mr. Novak’s financial expertise from his experience as a financial manager and varied roles on the boards of both publicly-traded and privately-held companies qualifies him to serve as the Chairman of our Board of Directors and provides our Board with particular technology-related knowledge and the perspective of a knowledgeable corporate leader. We believe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that we are best served through this existing leadership structure, as Mr. Novak encourages an open dialogue between management and our Board of Directors, ensuring that these groups act with a common purpose with respect to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corporate governance policies include regular meetings of the directors who are not “interested persons” of the Company, as defined in the 1940 Act (the “Independent Directors”), in executive session without the presence of interested directors and management, the establishment of an Audit Committee, Valuation Committee, Nominating and Corporate Governance Committee, and Compensation Committee, all of which are comprised solely of Independent Directors, and the appointment of a Chief Compliance Officer, with whom the Independent Directors meet regularly without the presence of interested directors and other members of management, for administering our compliance policies and procedures.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28" w:name="T9925"/>
      <w:bookmarkEnd w:id="28"/>
      <w:r>
        <w:rPr>
          <w:rFonts w:ascii="Times New Roman PS Std;serif" w:hAnsi="Times New Roman PS Std;serif"/>
          <w:b/>
          <w:i w:val="false"/>
          <w:caps w:val="false"/>
          <w:smallCaps w:val="false"/>
          <w:sz w:val="20"/>
        </w:rPr>
        <w:t xml:space="preserve">Board’s Role in Risk Oversight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performs its risk oversight function primarily through (i) its four standing committees, which report to the entire Board of Directors and are comprised solely of Independent Directors, and (ii) active monitoring of our Chief Compliance Officer and our compliance policies and procedures.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described below in more detail under “Committees of the Board of Directors,” the Audit Committee, the Valuation Committee, the Nominating and Corporate Governance Committee and the Compensation Committee assist the Board of Directors in fulfilling its risk oversight responsibilities. The Audit Committee’s risk oversight responsibilities include overseeing our accounting and financial reporting processes, our systems of internal controls regarding finance and accounting, and audits of our financial statements. The Valuation Committee’s risk oversight responsibilities include establishing guidelines and making recommendations to our Board of Directors regarding the valuation of our loans and investments. The Nominating and Corporate Governance Committee’s risk oversight responsibilities include selecting, researching and nominating directors for election by our stockholders, developing and recommending to the Board of Directors a set of corporate governance principles and overseeing the evaluation of our Board of Directors and our management. The Compensation Committee’s risk oversight responsibilities include reviewing and recommending to our Board of Directors for approval the Investment Advisory Agreement (as defined below) and the Administration Agreement (as defined below), and, to the extent that we may compensate our executive officers directly in the future, reviewing and evaluating the compensation of our executive officers and making recommendations to the Board of Directors regarding such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also performs its risk oversight responsibilities with the assistance of our Chief Compliance Officer. Our Board of Directors annually reviews a written report from the Chief Compliance Officer discussing the adequacy and effectiveness of the compliance policies and procedures of the Company and its service providers. The Chief Compliance Officer’s annual report addresses at a minimum (i) the operation of the compliance policies and procedures of the Company and its service providers since the last report; (ii) any material changes to such policies and procedures since the last report; (iii) any recommendations for material changes to such policies and procedures as a result of the Chief Compliance Officer’s annual review; and (iv) any compliance matter that has occurred since the date of the last report about which our Board of Directors would reasonably need to know to oversee our compliance activities and risks. In addition, the Chief Compliance Officer meets separately in executive session with the Independent Directors at least quarterly.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our Board of Directors’ role in risk oversight is effective, and appropriate given the extensive regulation to which we are already subject to as a BDC. As a BDC, we are required to comply with certain regulatory requirements that control the levels of risk in our business and operations. For example, our ability to incur indebtedness is limited such that our asset coverage must equal at least 150% immediately after each time we incur indebtedness, we generally cannot invest in assets that are not “qualifying assets” unless at least 70% of our gross assets consist of “qualifying assets” immediately prior to such investment, and we are not generally permitted to invest, subject to certain exceptions, in any portfolio company in which one of our affiliates currently has an investment.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recognize that different board roles in risk oversight are appropriate for companies in different situations. We re-examine the manner in which our Board of Directors administers its oversight function on an ongoing basis to ensure that they continue to meet our needs.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29" w:name="T9926"/>
      <w:bookmarkEnd w:id="29"/>
      <w:r>
        <w:rPr>
          <w:rFonts w:ascii="Times New Roman PS Std;serif" w:hAnsi="Times New Roman PS Std;serif"/>
          <w:b/>
          <w:i w:val="false"/>
          <w:caps w:val="false"/>
          <w:smallCaps w:val="false"/>
          <w:sz w:val="20"/>
        </w:rPr>
        <w:t xml:space="preserve">Transactions with Related Persons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entered into the Investment Advisory Agreement with Oxford Square Management (the “Investment Advisory Agreement”). Oxford Square Management is controlled by Oxford Funds, its managing member. In addition to Oxford Funds, Oxford Square Management is owned by Charles M. Royce, a member of our Board of Directors, who holds a minority, non-controlling interest in Oxford Square Management as the non-managing member. Oxford Funds, as the managing member of Oxford Square Management, manages the business and internal affairs of Oxford Square Management. In addition, Oxford Funds provides us with office facilities and administrative services pursuant to the Administration Agreement (the “Administration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Messrs. Cohen and Rosenthal also currently serve as Chief Executive Officer and President, respectively, at Oxford Gate Management. Oxford Funds is the managing member of Oxford Gate Management. In addition, Bruce L. Rubin serves as the Chief Financial Officer and Secretary, and Gerald Cummins serves as the Chief Compliance Officer, respectively, of Oxford Gate Management.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Messrs. Cohen and Rosenthal currently serve as Chief Executive Officer and President, respectively, of Oxford Lane Capital Corp. and Oxford Lane Management. Oxford Funds provides Oxford Lane Capital Corp. with office facilities and administrative services pursuant to an administration agreement and also serves as the managing member of Oxford Lane Management. In addition, Bruce L. Rubin serves as the Chief Financial Officer, Treasurer and Corporate Secretary of Oxford Lane Capital Corp. and Chief Financial Officer and Treasurer of Oxford Lane Management, and Mr. Cummins serves as the Chief Compliance Officer of Oxford Lane Capital Corp. and Oxford Lane Management.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Messrs. Cohen and Rosenthal also currently serve as Chief Executive Officer and President, respectively, at Oxford Park Income Fund, Inc. and Oxford Park Management. In addition, Bruce L. Rubin serves as the Chief Financial Officer and Secretary, and Gerald Cummins serves as the Chief Compliance Officer, respectively, of Oxford Park Income Fund, Inc. and Oxford Park Management.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certain conflicts of interest may arise with respect to the management of our portfolio by Messrs. Cohen and Rosenthal on the one hand, and the obligations of Messrs. Cohen and Rosenthal to manage Oxford Lane Capital Corp., Oxford Park Income Fund, Inc. and the Oxford Gate Funds on the other hand.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Square Management, Oxford Lane Management, Oxford Park Management and Oxford Gate Management are subject to a written policy with respect to the allocation of investment opportunities among the Company, Oxford Lane Capital Corp., Oxford Park Income Fund, Inc. and the Oxford Gate Funds. Where investments are suitable for more than one entity, the allocation policy generally provides that, depending on size and subject to current and anticipated cash availability, the absolute size of the investment as well as its relative size compared to the total assets of each entity, current and anticipated weighted average costs of capital, among other factors, an investment amount will be determined by the adviser to each entity. If the investment opportunity is sufficient for each entity to receive its investment amount, then each entity receives the investment amount; otherwise, the investment amount is reduced pro rata.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January 6, 2026, we received an updated form of co-investment exemptive relief from the SEC to allow certain managed funds and investment vehicles, each of whose investment adviser is Oxford Square Management or an investment adviser controlling, controlled by or under common control with Oxford Square Management, to participate in negotiated co-investment transactions where doing so is consistent with regulatory requirements and other pertinent factors, and pursuant to the conditions of the exemptive relief (the “Co-Investment Order”). The Co-Investment Order, which supersedes the co-investment order issued to us on June 14, 2017, is a new form of co-investment exemptive relief that adopts a more flexible requirement that allocations be “fair and equitable” to us and that Oxford Square Management considers the interests of us and other affiliated 1940 Act-regulated funds that rely on the Co-Investment Order in allocations and which minimizes certain board approval requirements as compared to the prior form of co-investment exemptive relief. Among other things, under the Co-Investment Order, the terms, conditions, price, class of securities to be purchased in respect of a particular investment, the date on which such investment is to be made and any registration rights applicable thereto, must be generally the same for us and each other participating affiliated entity. The requirements of the Co-Investment Order (including any requirements for board approval thereunder), as well as other regulatory requirements associated with us and other affiliated 1940 Act-regulated funds that rely on the Co-Investment Order, potentially will impact the investment allocations among participating entities (including, for the avoidance of doubt, us) or otherwise impact allocation results. Any changes to the Co-Investment Order 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rules and other guidance promulgated by the SEC and its staff under the 1940 Act could impact allocations made available to us and thereby affect (and potentially decrease) the allocation made to us or otherwise impact the process for allocations in transactions in which we participate.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ordinary course of business, we may enter into transactions with portfolio companies that may be considered related party transactions. In order to ensure that we do not engage in any prohibited transactions with any persons affiliated with us, we have implemented certain policies and procedures whereby our executive officers screen each of our transactions for any possible affiliations between the proposed portfolio investment, us, companies controlled by us and our employees and directors. We will not enter into any agreements unless and until we are satisfied that doing so will not raise concerns under the 1940 Act or, if such concerns exist, we have taken appropriate actions to seek board review and approval or exemptive relief for such transaction. Our Board of Directors reviews these procedures on an annual basis.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also adopted a Code of Business Conduct and Ethics which applies to our senior officers, including our Chief Executive Officer and Chief Financial Officer, as well as all of our officers, directors and employees. Our Code of Business Conduct and Ethics requires that all employees and directors avoid any conflict, or the appearance of a conflict, between an individual’s personal interests and our interests. Pursuant to our Code of Business Conduct and Ethics, each employee, officer and director must disclose any conflicts of interest, or actions or relationships that might give rise to a conflict. Our Audit Committee is charged with approving any waivers under our Code of Business Conduct and Ethics. As required by the NASDAQ Global Select Market corporate governance listing standards, the Audit Committee of our Board of Directors is also required to review and approve any transactions with related parties (as such term is defined in Item 404 of Regulation S-K).</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30" w:name="T9927"/>
      <w:bookmarkEnd w:id="30"/>
      <w:r>
        <w:rPr>
          <w:rFonts w:ascii="Times New Roman PS Std;serif" w:hAnsi="Times New Roman PS Std;serif"/>
          <w:b/>
          <w:i w:val="false"/>
          <w:caps w:val="false"/>
          <w:smallCaps w:val="false"/>
          <w:sz w:val="20"/>
        </w:rPr>
        <w:t xml:space="preserve">Investment Advisory Agreement Subject to Annual Approval by the Independent Directors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stockholders benefit from a robust annual review of the Investment Advisory Agreement with Oxford Square Management under the 1940 Act. In accordance with the requirements of the 1940 Act, the Board of Directors, including its Independent Directors, review on an annual basis whether the terms of the Investment Advisory Agreement between the Company and Oxford Square Management are fair in light of the services provided by Oxford Square Management. In other words, the Board considers whether the terms are fair and reasonable in relation to the services rendered.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determined, at a meeting held in-person on April 27, 2026, to re-approve the Investment Advisory Agreement. In its consideration of the re-approval of the Investment Advisory Agreement, the Board of Directors focused on information it had received relating to, among other things: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nature, extent and quality of advisory and other services provided by Oxford Square Management, including with respect to the investment criteria and parameters used by Oxford Square Management in identifying potential investment opportunities and Oxford Square Management’s processes currently in place to monitor, manage and mitigate the risk and volatility associated with the Company’s portfolio, and the qualifications and abilities of the professional personnel of Oxford Square Management and the compensation structure for such personnel, and concluded Oxford Square Management has and is expected to continue to provide a high level of quality services to the Company and its stockholders;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investment performance of the Company and Oxford Square Management including a comparison to the performance of the Company’s peer group, and concluded that the Company’s performance is reasonable;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experience and qualifications of the personnel providing such advisory and other services, including information about the backgrounds of the investment personnel, the allocation of responsibilities among such personnel and the process by which investment decisions are made, and concluded that the investment personnel of Oxford Square Management have extensive experience and are well qualified to provide advisory and other services to the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advisory fees paid by the Company, including the incentive fees paid, which included a comparison of the advisory fees paid by comparable BDCs and the Company’s anticipated expense ratios in relation to those of other investment companies having comparable investment objectives, and concluded that the total advisory fees paid were reasonable;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direct and indirect costs, including for personnel and office facilities, that are incurred by Oxford Square Management and its affiliates in performing services for the Company and the basis of determining and allocating these costs, and concluded that the direct and indirect costs, including the allocation of such costs, are reasonable;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Possible economies of scale arising from the Company’s size and/or anticipated growth, and the extent to which such economies of scale are reflected in the advisory fees charged by Oxford Square Management to the Company, and concluded that the advisory fee structure is reasonable;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Profitability and other possible indirect benefits to Oxford Square Management and its affiliates arising from their relationships with the Company, and concluded that Oxford Square Management’s and its affiliates profitability and any such other benefits were not excessive;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possibility of obtaining similar services from other third-party service providers or through an internally managed structure and concluded that the Company’s current externally managed structure with Oxford Square Management as its investment adviser was satisfactory.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information reviewed and the discussions detailed above, the Board of Directors, including all of the Independent Directors, concluded that fees payable to Oxford Square Management pursuant to the Investment Advisory Agreement were reasonable, and comparable to the fees paid by other BDCs with similar investment objectives, in relation to the services to be provided, and the Board of Directors unanimously approved the re-approval of the Investment Advisory Agreement. The Board of Directors did not assign relative weights to the above factors or the other factors considered by it. Individual members of the Board of Directors may have given different weights to different factors.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31" w:name="T9928"/>
      <w:bookmarkEnd w:id="31"/>
      <w:r>
        <w:rPr>
          <w:rFonts w:ascii="Times New Roman PS Std;serif" w:hAnsi="Times New Roman PS Std;serif"/>
          <w:b/>
          <w:i w:val="false"/>
          <w:caps w:val="false"/>
          <w:smallCaps w:val="false"/>
          <w:sz w:val="20"/>
        </w:rPr>
        <w:t xml:space="preserve">Review, Approval or Ratification of Transactions with Related Persons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also adopted a Code of Business Conduct and Ethics which applies to, among others, our senior officers, including our Chief Executive Officer and Chief Financial Officer, as well as all of our officers, directors and employees. Our Code of Business Conduct and Ethics requires that all employees and directors avoid any conflict, or the appearance of a conflict, between an individual’s personal interests and our interests. Pursuant to our Code of Business Conduct and Ethics, each employee and director must disclose any conflicts of interest, or actions or relationships that might give rise to a conflict, to our Chief Compliance Officer. Our Audit Committee is charged with approving any waivers under our Code of Business Conduct and Ethics. As required by the NASDAQ Global Select Market corporate governance listing standards, the Audit Committee of our Board of Directors is also required to review and approve any transactions with related parties (as such term is defined in Item 404 of Regulation S-K).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32" w:name="T9929"/>
      <w:bookmarkEnd w:id="32"/>
      <w:r>
        <w:rPr>
          <w:rFonts w:ascii="Times New Roman PS Std;serif" w:hAnsi="Times New Roman PS Std;serif"/>
          <w:b/>
          <w:i w:val="false"/>
          <w:caps/>
          <w:sz w:val="20"/>
        </w:rPr>
        <w:t xml:space="preserve">Corporate Governance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33" w:name="T9930"/>
      <w:bookmarkEnd w:id="33"/>
      <w:r>
        <w:rPr>
          <w:rFonts w:ascii="Times New Roman PS Std;serif" w:hAnsi="Times New Roman PS Std;serif"/>
          <w:b/>
          <w:i w:val="false"/>
          <w:caps w:val="false"/>
          <w:smallCaps w:val="false"/>
          <w:sz w:val="20"/>
        </w:rPr>
        <w:t xml:space="preserve">Corporate Governance Documents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Code of Business Conduct and Ethics and the charters of the Audit Committee, Nominating and Corporate Governance Committee and Compensation Committee are available on our website at </w:t>
      </w:r>
      <w:r>
        <w:rPr>
          <w:rFonts w:ascii="Times New Roman PS Std;serif" w:hAnsi="Times New Roman PS Std;serif"/>
          <w:b w:val="false"/>
          <w:i/>
          <w:caps w:val="false"/>
          <w:smallCaps w:val="false"/>
          <w:sz w:val="20"/>
        </w:rPr>
        <w:t>www</w:t>
      </w:r>
      <w:r>
        <w:rPr>
          <w:rFonts w:ascii="Times New Roman PS Std;serif" w:hAnsi="Times New Roman PS Std;serif"/>
          <w:b w:val="false"/>
          <w:i w:val="false"/>
          <w:caps w:val="false"/>
          <w:smallCaps w:val="false"/>
          <w:sz w:val="20"/>
        </w:rPr>
        <w:t>.</w:t>
      </w:r>
      <w:r>
        <w:rPr>
          <w:rFonts w:ascii="Times New Roman PS Std;serif" w:hAnsi="Times New Roman PS Std;serif"/>
          <w:b w:val="false"/>
          <w:i/>
          <w:caps w:val="false"/>
          <w:smallCaps w:val="false"/>
          <w:sz w:val="20"/>
        </w:rPr>
        <w:t>oxfordsquarecapital.com</w:t>
      </w:r>
      <w:r>
        <w:rPr>
          <w:rFonts w:ascii="Times New Roman PS Std;serif" w:hAnsi="Times New Roman PS Std;serif"/>
          <w:b w:val="false"/>
          <w:i w:val="false"/>
          <w:caps w:val="false"/>
          <w:smallCaps w:val="false"/>
          <w:sz w:val="20"/>
        </w:rPr>
        <w:t xml:space="preserve"> and are also available to any stockholder who requests them by writing to Oxford Square Capital Corp., c/o Bruce L. Rubin, Corporate Secretary, 8 Sound Shore Drive, Suite 255, Greenwich, Connecticut 06830.</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34" w:name="T9931"/>
      <w:bookmarkEnd w:id="34"/>
      <w:r>
        <w:rPr>
          <w:rFonts w:ascii="Times New Roman PS Std;serif" w:hAnsi="Times New Roman PS Std;serif"/>
          <w:b/>
          <w:i w:val="false"/>
          <w:caps w:val="false"/>
          <w:smallCaps w:val="false"/>
          <w:sz w:val="20"/>
        </w:rPr>
        <w:t xml:space="preserve">Director Independence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the rules of the NASDAQ Stock Market, our Board of Directors annually determines each director’s independence. We do not consider a director independent unless our Board of Directors has determined that he or she has no material relationship with us. We monitor the relationships of our directors and officers through a questionnaire each director completes no less frequently than annually and updates periodically as information provided in the most recent questionnaire changes.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evaluate the materiality of any such relationship, our Board of Directors uses the definition of director independence set forth in the rules promulgated by the NASDAQ Stock Market. Rule 5605(a)(2) provides that a director of a BDC, shall be considered to be independent if he or she is not an “interested person” of the Company, as defined in Section 2(a)(19) of the 1940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has determined that each of the directors is independent and has no relationship with us, except as a director and stockholder, with the exception of Jonathan H. Cohen, as a result of his position as our Chief Executive Officer of the Company and Oxford Square Management and Managing Member of Oxford Funds, and Charles M. Royce, as a result of his ownership of a minority, non-controlling interest in our investment adviser, Oxford Square Management.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35" w:name="T9932"/>
      <w:bookmarkEnd w:id="35"/>
      <w:r>
        <w:rPr>
          <w:rFonts w:ascii="Times New Roman PS Std;serif" w:hAnsi="Times New Roman PS Std;serif"/>
          <w:b/>
          <w:i w:val="false"/>
          <w:caps w:val="false"/>
          <w:smallCaps w:val="false"/>
          <w:sz w:val="20"/>
        </w:rPr>
        <w:t xml:space="preserve">Evaluation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directors perform an evaluation and assessment, no less frequently than annually, of the effectiveness of the Board of Directors and its committees.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36" w:name="T9933"/>
      <w:bookmarkEnd w:id="36"/>
      <w:r>
        <w:rPr>
          <w:rFonts w:ascii="Times New Roman PS Std;serif" w:hAnsi="Times New Roman PS Std;serif"/>
          <w:b/>
          <w:i w:val="false"/>
          <w:caps w:val="false"/>
          <w:smallCaps w:val="false"/>
          <w:sz w:val="20"/>
        </w:rPr>
        <w:t xml:space="preserve">Communication with the Board of Directors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with questions about the Company are encouraged to contact our Investor Relations Department. However, if stockholders believe that their questions have not been addressed, they may communicate with our Board of Directors by sending their communications to Oxford Square Capital Corp., c/o Bruce L. Rubin, Corporate Secretary, 8 Sound Shore Drive, Suite 255, Greenwich, Connecticut 06830. All stockholder communications received in this manner will be delivered to one or more members of our Board of Directors, as appropriate.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37" w:name="T99503"/>
      <w:bookmarkEnd w:id="37"/>
      <w:r>
        <w:rPr>
          <w:rFonts w:ascii="Times New Roman PS Std;serif" w:hAnsi="Times New Roman PS Std;serif"/>
          <w:b/>
          <w:i w:val="false"/>
          <w:caps w:val="false"/>
          <w:smallCaps w:val="false"/>
          <w:sz w:val="20"/>
        </w:rPr>
        <w:t xml:space="preserve">Insider Trading Policy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Company’s insider trading policy (the “Insider Trading Policy”) governs the purchase, sale, and/or any other dispositions of its securities by directors, officers, employees and other covered persons and is designed to promote compliance with insider trading laws, rules and regulations, and listing standards applicable to the Company. To the extent the Company engages in transactions in its securities, it will do so in accordance with applicable laws.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38" w:name="T99504"/>
      <w:bookmarkEnd w:id="38"/>
      <w:r>
        <w:rPr>
          <w:rFonts w:ascii="Times New Roman PS Std;serif" w:hAnsi="Times New Roman PS Std;serif"/>
          <w:b/>
          <w:i w:val="false"/>
          <w:caps w:val="false"/>
          <w:smallCaps w:val="false"/>
          <w:sz w:val="20"/>
        </w:rPr>
        <w:t xml:space="preserve">Hedging Transactions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Code of Ethics and Insider Trading Policy prohibits any Covered Persons (as defined below) from engaging in hedging or monetization transactions with respect to our securities, except for covered call writing. Any Covered Person wishing to enter into a covered call transaction with respect to our securities must first pre-clear the proposed transaction with our Chief Compliance Officer. A “Covered Person” means any of our directors, officers or employees (including a temporary employee), or of any of our affiliates or subsidiaries, including our investment adviser, our administrator and any other persons designated by our Chief Compliance Officer.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39" w:name="T9934"/>
      <w:bookmarkEnd w:id="39"/>
      <w:r>
        <w:rPr>
          <w:rFonts w:ascii="Times New Roman PS Std;serif" w:hAnsi="Times New Roman PS Std;serif"/>
          <w:b/>
          <w:i w:val="false"/>
          <w:caps w:val="false"/>
          <w:smallCaps w:val="false"/>
          <w:sz w:val="20"/>
        </w:rPr>
        <w:t xml:space="preserve">Committees of the Board of Directors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has established a standing Audit Committee, Valuation Committee, Nominating and Corporate Governance Committee, and Compensation Committee. During 2025, our Board of Directors held four Board meetings, four Audit Committee meetings, four Valuation Committee meetings, one Nominating and Corporate Governance meeting, and one Compensation Committee meeting. Each of the incumbent directors attended at least 75% of the aggregate number of meetings of our Board of Directors and of the respective committees on which he served during the last fiscal year and while he served as a director. We require each director to make a diligent effort to attend all Board of Directors and committee meetings, as well as each annual meeting of stockholders.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bookmarkStart w:id="40" w:name="T9935"/>
      <w:bookmarkEnd w:id="40"/>
      <w:r>
        <w:rPr>
          <w:rFonts w:ascii="Times New Roman PS Std;serif" w:hAnsi="Times New Roman PS Std;serif"/>
          <w:b/>
          <w:i/>
          <w:caps w:val="false"/>
          <w:smallCaps w:val="false"/>
          <w:sz w:val="20"/>
        </w:rPr>
        <w:t xml:space="preserve">Audit Committee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Audit Committee operates pursuant to a charter approved by our Board, copy of which is available on our website at </w:t>
      </w:r>
      <w:r>
        <w:rPr>
          <w:rFonts w:ascii="Times New Roman PS Std;serif" w:hAnsi="Times New Roman PS Std;serif"/>
          <w:b w:val="false"/>
          <w:i/>
          <w:caps w:val="false"/>
          <w:smallCaps w:val="false"/>
          <w:sz w:val="20"/>
        </w:rPr>
        <w:t>www.oxfordsquarecapital.com</w:t>
      </w:r>
      <w:r>
        <w:rPr>
          <w:rFonts w:ascii="Times New Roman PS Std;serif" w:hAnsi="Times New Roman PS Std;serif"/>
          <w:b w:val="false"/>
          <w:i w:val="false"/>
          <w:caps w:val="false"/>
          <w:smallCaps w:val="false"/>
          <w:sz w:val="20"/>
        </w:rPr>
        <w:t>. The charter sets forth the responsibilities of the Audit Committee. The Audit Committee’s responsibilities include recommending the selection of our independent registered public accounting firm, reviewing with such independent registered public accounting firm the planning, scope and results of their audit of our financial statements, pre-approving the fees for services performed, reviewing with the independent registered public accounting firm the adequacy of internal control systems, reviewing our annual financial statements and periodic filings, and receiving the audit reports covering our financial statements. The Audit Committee is presently composed of three persons: Messrs. Osherow, Novak, and Stelljes, all of whom are considered independent under the rules promulgated by the NASDAQ Global Stock Market. Our Board has determined that each of Mr. Novak and Mr. Stelljes is an “audit committee financial expert” as that term is defined under Item 407 of Regulation S-K of the Exchange Act. Messrs. Osherow, Novak, and Stelljes each meet the current independence and experience requirements of Rule 10A-3 of the Exchange Act and, in addition, are each not an “interested person” of OXSQ as defined in Section 2(a)(19) of the 1940 Act. Mr. Osherow currently serves as Chairman of the Audit Committee.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bookmarkStart w:id="41" w:name="T9936"/>
      <w:bookmarkEnd w:id="41"/>
      <w:r>
        <w:rPr>
          <w:rFonts w:ascii="Times New Roman PS Std;serif" w:hAnsi="Times New Roman PS Std;serif"/>
          <w:b/>
          <w:i/>
          <w:caps w:val="false"/>
          <w:smallCaps w:val="false"/>
          <w:sz w:val="20"/>
        </w:rPr>
        <w:t xml:space="preserve">Nominating and Corporate Governance Committee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Nominating and Corporate Governance Committee operates pursuant to a charter approved by our Board of Directors, a copy of which is available on our website at </w:t>
      </w:r>
      <w:r>
        <w:rPr>
          <w:rFonts w:ascii="Times New Roman PS Std;serif" w:hAnsi="Times New Roman PS Std;serif"/>
          <w:b w:val="false"/>
          <w:i/>
          <w:caps w:val="false"/>
          <w:smallCaps w:val="false"/>
          <w:sz w:val="20"/>
        </w:rPr>
        <w:t>www.oxfordsquarecapital.com</w:t>
      </w:r>
      <w:r>
        <w:rPr>
          <w:rFonts w:ascii="Times New Roman PS Std;serif" w:hAnsi="Times New Roman PS Std;serif"/>
          <w:b w:val="false"/>
          <w:i w:val="false"/>
          <w:caps w:val="false"/>
          <w:smallCaps w:val="false"/>
          <w:sz w:val="20"/>
        </w:rPr>
        <w:t>. The charter sets forth the responsibilities of the Nominating and Corporate Governance Committee. The Nominating and Corporate Governance Committee’s responsibilities include selecting, researching and nominating directors for election by our stockholders, selecting nominees to fill vacancies on the Board of Directors or a committee thereof, monitoring and making recommendations to the Board of Directors on matters of Company policies and practices relating to corporate governance and overseeing the evaluation of the Board of Directors and our management. The Nominating and Corporate Governance Committee is presently composed of three persons: Messrs. Novak, Osherow and Stelljes, all of whom are considered independent under the rules promulgated by the NASDAQ Global Stock Market. Mr. Stelljes currently serves as Chairman of the Nominating and Corporate Governance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Nominating and Corporate Governance Committee does not currently have a written policy with regard to nominees recommended by our stockholders. The absence of such a policy does not mean, however, that a stockholder recommendation would not have been considered had one been received.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Nominating and Corporate Governance Committee will consider qualified director nominees recommended by stockholders when such recommendations are submitted in accordance with our bylaws and any applicable law, rule or regulation regarding director nominations. When submitting a nomination for consideration, a stockholder must provide certain information that would be required under applicable SEC rules, including the following minimum information for each director nominee: full name, age and address; principal occupation during the past five years; current directorships on publicly held companies and investment companies; number of shares of Company common stock owned, if any; and, a written consent of the individual to stand for election if nominated by our Board of Directors and to serve if elected by our stockholders.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evaluating director nominees, the members of the Nominating and Corporate Governance Committee consider the following factors: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appropriate size and composition of our Board of Directors;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or not the person is an “interested person” of the Company as defined in Section 2(a)(19) of the 1940 Act;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knowledge, skills and experience of nominees in light of the Company’s business and strategic direction and the knowledge, skills and experience already possessed by other members of the Board of Directors;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familiarity with business matters;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experience with accounting rules and practices;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desire to complement the considerable benefit of continuity with the benefit of diverse viewpoints and perspectives (such as gender, race, national origin and education);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applicable laws, rules, regulations, and listing standards.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Nominating and Corporate Governance Committee’s goal is to assemble a Board of Directors that brings to the Company a variety of perspectives and skills derived from high quality business and professional experience.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than the foregoing, there are no stated minimum criteria for director nominees, although the members of the Nominating and Corporate Governance Committee may also consider such other factors as they may deem are in the best interests of the Company and its stockholders. The Nominating and Corporate Governance Committee also believes it appropriate for certain key members of our management to participate as members of the 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members of the Nominating and Corporate Governance Committee identify nominees by first evaluating the current members of the Board of Directors willing to continue in service. Current members of the Board of Directors with skills and experience that are relevant to our business and who are willing to continue in service are considered for re-nomination, balancing the value of continuity of service by existing members of the Board of Directors with that of the benefits of diverse perspectives. If any member of the Board of Directors does not wish to continue in service or if the Board of Directors decides not to re-nominate a member for re-election, the Independent Directors of the Board of Directors identify the desired skills and experience of a new nominee in light of the criteria above. The entire Board of Directors is polled for suggestions as to individuals meeting the aforementioned criteria. Research may also be performed to identify qualified individuals. To date, neither the Board of Directors nor the Nominating and Corporate Governance Committee has engaged third parties to identify or evaluate or assist in identifying potential nominees although each reserves the right in the future to retain a third-party search firm, if necessary.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including the Nominating and Corporate Governance Committee, unanimously recommended that Steven P. Novak and Charles M. Royce be nominated for election to the Board.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bookmarkStart w:id="42" w:name="T9937"/>
      <w:bookmarkEnd w:id="42"/>
      <w:r>
        <w:rPr>
          <w:rFonts w:ascii="Times New Roman PS Std;serif" w:hAnsi="Times New Roman PS Std;serif"/>
          <w:b/>
          <w:i/>
          <w:caps w:val="false"/>
          <w:smallCaps w:val="false"/>
          <w:sz w:val="20"/>
        </w:rPr>
        <w:t xml:space="preserve">Valuation Committee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Valuation Committee establishes guidelines and makes recommendations to our Board of Directors regarding the valuation of our loans and investments. Our portfolio investments are generally not publicly traded securities. As a result, there is no readily determinable market value for these securities. Thus, as required by the 1940 Act for such securities, we value these securities at fair value as determined in good faith by our Board of Directors based upon the recommendation of the Valuation Committee. The Valuation Committee is presently composed of three persons: Messrs. Novak, Osherow and Stelljes, all of whom are considered independent under the rules of the NASDAQ Global Select Market and are not “interested persons” of OXSQ as that term is defined in Section 2(a)(19) of the 1940 Act. Mr. Stelljes currently serves as Chairman of the Valuation Committee.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bookmarkStart w:id="43" w:name="T9938"/>
      <w:bookmarkEnd w:id="43"/>
      <w:r>
        <w:rPr>
          <w:rFonts w:ascii="Times New Roman PS Std;serif" w:hAnsi="Times New Roman PS Std;serif"/>
          <w:b/>
          <w:i/>
          <w:caps w:val="false"/>
          <w:smallCaps w:val="false"/>
          <w:sz w:val="20"/>
        </w:rPr>
        <w:t xml:space="preserve">Compensation Committee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Compensation Committee operates pursuant to a charter approved by our Board, a copy of which is available on our website at </w:t>
      </w:r>
      <w:r>
        <w:rPr>
          <w:rFonts w:ascii="Times New Roman PS Std;serif" w:hAnsi="Times New Roman PS Std;serif"/>
          <w:b w:val="false"/>
          <w:i/>
          <w:caps w:val="false"/>
          <w:smallCaps w:val="false"/>
          <w:sz w:val="20"/>
        </w:rPr>
        <w:t>www.oxfordsquarecapital.com</w:t>
      </w:r>
      <w:r>
        <w:rPr>
          <w:rFonts w:ascii="Times New Roman PS Std;serif" w:hAnsi="Times New Roman PS Std;serif"/>
          <w:b w:val="false"/>
          <w:i w:val="false"/>
          <w:caps w:val="false"/>
          <w:smallCaps w:val="false"/>
          <w:sz w:val="20"/>
        </w:rPr>
        <w:t>. The charter sets forth the responsibilities of the Compensation Committee. The Compensation Committee is responsible for annually reviewing and recommending for approval to our Board the Investment Advisory Agreement and the Administration Agreement. The Compensation Committee is also responsible for reviewing and approving the compensation of the Independent Directors, including the Chairman of the Board. In addition, although we do not directly compensate our executive officers currently, to the extent that we do so in the future, the Compensation Committee would also be responsible for reviewing and evaluating their compensation and making recommendations to the Board regarding their compensation. Lastly, the Compensation Committee would produce a report on our executive compensation practices and policies for inclusion in our proxy statement if required by applicable proxy rules and regulations and, if applicable, make recommendations to the Board on our executive compensation practices and policies. The Compensation Committee has the authority to engage compensation consultants and to delegate their duties and responsibilities to a member or to a subcommittee of the Compensation Committee. The Compensation Committee is presently composed of three persons: Messrs. Novak, Osherow and Stelljes, all of whom are considered independent under the rules of the NASDAQ Global Select Market and are not “interested persons” of Oxford Square Capital Corp. as that term is defined in Section 2(a)(19) of the 1940 Act. Mr. Novak serves as Chairman of the Compensation Committee.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44" w:name="T9939"/>
      <w:bookmarkEnd w:id="44"/>
      <w:r>
        <w:rPr>
          <w:rFonts w:ascii="Times New Roman PS Std;serif" w:hAnsi="Times New Roman PS Std;serif"/>
          <w:b/>
          <w:i w:val="false"/>
          <w:caps w:val="false"/>
          <w:smallCaps w:val="false"/>
          <w:sz w:val="20"/>
        </w:rPr>
        <w:t xml:space="preserve">Code of Ethics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adopted a Code of Business Conduct and Ethics (“Code of Ethics) which applies to, among others, our senior officers, including our Chief Executive Officer and our Chief Financial Officer, as well as every officer, director and employee of OXSQ. Our Code of Ethics can be accessed via our website at </w:t>
      </w:r>
      <w:r>
        <w:rPr>
          <w:rFonts w:ascii="Times New Roman PS Std;serif" w:hAnsi="Times New Roman PS Std;serif"/>
          <w:b w:val="false"/>
          <w:i/>
          <w:caps w:val="false"/>
          <w:smallCaps w:val="false"/>
          <w:sz w:val="20"/>
        </w:rPr>
        <w:t>www.oxfordsquarecapital.com</w:t>
      </w:r>
      <w:r>
        <w:rPr>
          <w:rFonts w:ascii="Times New Roman PS Std;serif" w:hAnsi="Times New Roman PS Std;serif"/>
          <w:b w:val="false"/>
          <w:i w:val="false"/>
          <w:caps w:val="false"/>
          <w:smallCaps w:val="false"/>
          <w:sz w:val="20"/>
        </w:rPr>
        <w:t>. We intend to disclose amendments to or waivers from a required provision of the Code of Ethics on Form 8-K. We intend to disclose any substantive amendments to, or waivers from, this Code of Ethics within four business days of the waiver or amendment through a posting on our website.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45" w:name="T9940"/>
      <w:bookmarkEnd w:id="45"/>
      <w:r>
        <w:rPr>
          <w:rFonts w:ascii="Times New Roman PS Std;serif" w:hAnsi="Times New Roman PS Std;serif"/>
          <w:b/>
          <w:i w:val="false"/>
          <w:caps w:val="false"/>
          <w:smallCaps w:val="false"/>
          <w:sz w:val="20"/>
        </w:rPr>
        <w:t xml:space="preserve">Compensation of Executive Officers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 of our officers receive direct compensation from OXSQ. As a result, we do not engage any compensation consultants. Mr. Cohen, our Chief Executive Officer, and Mr. Rosenthal, our President and Chief Operating Officer, through their ownership interest in Oxford Funds, the managing member of Oxford Square Management, are entitled to a portion of any profits earned by Oxford Square Management, which includes any fees payable to Oxford Square Management under the terms of our Investment Advisory Agreement, less expenses incurred by Oxford Square Management in performing its services under the Investment Advisory Agreement. Messrs. Cohen and Rosenthal do not receive any additional compensation from Oxford Square Management in connection with the management of our portfolio.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compensation of our Chief Financial Officer and Corporate Secretary is paid by our administrator, Oxford Funds, subject to reimbursement by us of an allocable portion of such compensation for services rendered by our Chief Financial Officer and Corporate Secretary to OXSQ. The allocable portion of such compensation that is reimbursed to Oxford Funds by us is based on an estimate of the time spent by our Chief Financial Officer and Corporate Secretary and other administrative personnel in performing their respective duties for us in accordance with the Administration Agreement. For the fiscal year ended December 31, 2025, we accrued approximately $950,000 for the allocable portion of compensation expenses incurred by Oxford Funds on our behalf for our Chief Financial Officer, our Treasurer and Controller, and other administrative support personnel, pursuant to our Administration Agreement with Oxford Funds. Mr. Cummins is a Director of ACA Group, LLC, and performs his functions as our Chief Compliance Officer under the terms of an agreement between us and ACA Group, LLC. For the fiscal year ended December 31, 2025, we accrued approximately $120,000 for the fees paid to ACA Group, LLC.</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46" w:name="T99505"/>
      <w:bookmarkEnd w:id="46"/>
      <w:r>
        <w:rPr>
          <w:rFonts w:ascii="Times New Roman PS Std;serif" w:hAnsi="Times New Roman PS Std;serif"/>
          <w:b/>
          <w:i w:val="false"/>
          <w:caps w:val="false"/>
          <w:smallCaps w:val="false"/>
          <w:sz w:val="20"/>
        </w:rPr>
        <w:t xml:space="preserve">Timing of Grants of Options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did not grant awards of stock options, stock appreciation rights or similar option-like instruments during the fiscal year ended December 31, 2025. Accordingly, we have nothing to report under Item 402(x) of Regulation S-K.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47" w:name="T9941"/>
      <w:bookmarkEnd w:id="47"/>
      <w:r>
        <w:rPr>
          <w:rFonts w:ascii="Times New Roman PS Std;serif" w:hAnsi="Times New Roman PS Std;serif"/>
          <w:b/>
          <w:i w:val="false"/>
          <w:caps w:val="false"/>
          <w:smallCaps w:val="false"/>
          <w:sz w:val="20"/>
        </w:rPr>
        <w:t xml:space="preserve">Compensation of Directors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independent director receives an annual fee of $90,000. The Chairman of the Board receives an additional annual fee of $30,000 for his service as Chairman of the Board. In addition, the independent directors receive $4,000 plus reimbursement of reasonable out-of-pocket expenses incurred in connection with attending each Board meeting, $1,500 plus reimbursement of reasonable out-of-pocket expenses incurred in connection with attending each Valuation Committee meeting, $1,500 plus reimbursement of reasonable out of-pocket expenses incurred in connection with attending each Audit Committee meeting, $1,000 plus reimbursement of reasonable out-of-pocket expenses incurred in connection with attending each Nominating and Corporate Governance Committee meeting and $1,000 plus reimbursement of reasonable out-of-pocket expenses incurred in connection with attending each Compensation Committee meeting. The Chairman of the Audit Committee also receives an additional annual fee of $10,000 for his service as chair of the Audit Committee. The Chairman of the Valuation Committee also receives an additional annual fee of $7,500 for his service as chair of the Valuation Committee. The Chairman of the Nominating and Corporate Governance Committee also receives an additional annual fee of $5,000 for his service as chair of the Nominating and Corporate Governance Committee. The Chairman of the Compensation Committee also receives an additional annual fee of $5,000 for his service as chair of the Compensation Committee. No compensation was paid to directors who are interested persons of OXSQ as defined in the 1940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compensation of our directors for the year ended December 31, 2025.</w:t>
      </w:r>
    </w:p>
    <w:tbl>
      <w:tblPr>
        <w:tblW w:w="8198" w:type="dxa"/>
        <w:jc w:val="left"/>
        <w:tblInd w:w="0" w:type="dxa"/>
        <w:tblLayout w:type="fixed"/>
        <w:tblCellMar>
          <w:top w:w="0" w:type="dxa"/>
          <w:left w:w="0" w:type="dxa"/>
          <w:bottom w:w="0" w:type="dxa"/>
          <w:right w:w="0" w:type="dxa"/>
        </w:tblCellMar>
      </w:tblPr>
      <w:tblGrid>
        <w:gridCol w:w="2896"/>
        <w:gridCol w:w="146"/>
        <w:gridCol w:w="390"/>
        <w:gridCol w:w="1291"/>
        <w:gridCol w:w="146"/>
        <w:gridCol w:w="1906"/>
        <w:gridCol w:w="146"/>
        <w:gridCol w:w="286"/>
        <w:gridCol w:w="991"/>
      </w:tblGrid>
      <w:tr>
        <w:trPr/>
        <w:tc>
          <w:tcPr>
            <w:tcW w:w="289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center"/>
          </w:tcPr>
          <w:p>
            <w:pPr>
              <w:pStyle w:val="TableContents"/>
              <w:bidi w:val="0"/>
              <w:spacing w:before="0" w:after="283"/>
              <w:jc w:val="left"/>
              <w:rPr/>
            </w:pPr>
            <w:r>
              <w:rPr/>
              <w:t> </w:t>
            </w:r>
          </w:p>
        </w:tc>
        <w:tc>
          <w:tcPr>
            <w:tcW w:w="1681"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Fees Earned or</w:t>
              <w:br/>
              <w:t>Paid in Cash</w:t>
            </w:r>
          </w:p>
        </w:tc>
        <w:tc>
          <w:tcPr>
            <w:tcW w:w="146" w:type="dxa"/>
            <w:tcBorders/>
            <w:vAlign w:val="center"/>
          </w:tcPr>
          <w:p>
            <w:pPr>
              <w:pStyle w:val="TableContents"/>
              <w:bidi w:val="0"/>
              <w:spacing w:before="0" w:after="283"/>
              <w:jc w:val="left"/>
              <w:rPr/>
            </w:pPr>
            <w:r>
              <w:rPr/>
              <w:t> </w:t>
            </w:r>
          </w:p>
        </w:tc>
        <w:tc>
          <w:tcPr>
            <w:tcW w:w="190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All Other</w:t>
              <w:br/>
              <w:t>Compensation(2)</w:t>
            </w:r>
          </w:p>
        </w:tc>
        <w:tc>
          <w:tcPr>
            <w:tcW w:w="146" w:type="dxa"/>
            <w:tcBorders/>
            <w:vAlign w:val="center"/>
          </w:tcPr>
          <w:p>
            <w:pPr>
              <w:pStyle w:val="TableContents"/>
              <w:bidi w:val="0"/>
              <w:spacing w:before="0" w:after="283"/>
              <w:jc w:val="left"/>
              <w:rPr/>
            </w:pPr>
            <w:r>
              <w:rPr/>
              <w:t> </w:t>
            </w:r>
          </w:p>
        </w:tc>
        <w:tc>
          <w:tcPr>
            <w:tcW w:w="127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289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Interested Directors</w:t>
            </w:r>
          </w:p>
        </w:tc>
        <w:tc>
          <w:tcPr>
            <w:tcW w:w="146"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9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0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91" w:type="dxa"/>
            <w:tcBorders/>
            <w:shd w:fill="CCEEFF" w:val="clear"/>
            <w:vAlign w:val="center"/>
          </w:tcPr>
          <w:p>
            <w:pPr>
              <w:pStyle w:val="TableContents"/>
              <w:bidi w:val="0"/>
              <w:spacing w:before="0" w:after="283"/>
              <w:jc w:val="left"/>
              <w:rPr/>
            </w:pPr>
            <w:r>
              <w:rPr/>
              <w:t> </w:t>
            </w:r>
          </w:p>
        </w:tc>
      </w:tr>
      <w:tr>
        <w:trPr/>
        <w:tc>
          <w:tcPr>
            <w:tcW w:w="289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Jonathan H. Cohen</w:t>
            </w:r>
          </w:p>
        </w:tc>
        <w:tc>
          <w:tcPr>
            <w:tcW w:w="146" w:type="dxa"/>
            <w:tcBorders/>
            <w:vAlign w:val="center"/>
          </w:tcPr>
          <w:p>
            <w:pPr>
              <w:pStyle w:val="TableContents"/>
              <w:bidi w:val="0"/>
              <w:spacing w:before="0" w:after="283"/>
              <w:jc w:val="left"/>
              <w:rPr/>
            </w:pPr>
            <w:r>
              <w:rPr/>
              <w:t> </w:t>
            </w:r>
          </w:p>
        </w:tc>
        <w:tc>
          <w:tcPr>
            <w:tcW w:w="390"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9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89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Charles M. Royce</w:t>
            </w:r>
          </w:p>
        </w:tc>
        <w:tc>
          <w:tcPr>
            <w:tcW w:w="146"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190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89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Independent Directors(1)</w:t>
            </w:r>
          </w:p>
        </w:tc>
        <w:tc>
          <w:tcPr>
            <w:tcW w:w="146" w:type="dxa"/>
            <w:tcBorders/>
            <w:vAlign w:val="center"/>
          </w:tcPr>
          <w:p>
            <w:pPr>
              <w:pStyle w:val="TableContents"/>
              <w:bidi w:val="0"/>
              <w:spacing w:before="0" w:after="283"/>
              <w:jc w:val="left"/>
              <w:rPr/>
            </w:pPr>
            <w:r>
              <w:rPr/>
              <w:t> </w:t>
            </w:r>
          </w:p>
        </w:tc>
        <w:tc>
          <w:tcPr>
            <w:tcW w:w="390"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91" w:type="dxa"/>
            <w:tcBorders/>
            <w:vAlign w:val="center"/>
          </w:tcPr>
          <w:p>
            <w:pPr>
              <w:pStyle w:val="TableContents"/>
              <w:bidi w:val="0"/>
              <w:spacing w:before="0" w:after="283"/>
              <w:jc w:val="left"/>
              <w:rPr/>
            </w:pPr>
            <w:r>
              <w:rPr/>
              <w:t> </w:t>
            </w:r>
          </w:p>
        </w:tc>
      </w:tr>
      <w:tr>
        <w:trPr/>
        <w:tc>
          <w:tcPr>
            <w:tcW w:w="289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Steven P. Novak</w:t>
            </w:r>
          </w:p>
        </w:tc>
        <w:tc>
          <w:tcPr>
            <w:tcW w:w="146"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146,000</w:t>
            </w:r>
          </w:p>
        </w:tc>
        <w:tc>
          <w:tcPr>
            <w:tcW w:w="146" w:type="dxa"/>
            <w:tcBorders/>
            <w:shd w:fill="CCEEFF" w:val="clear"/>
            <w:vAlign w:val="center"/>
          </w:tcPr>
          <w:p>
            <w:pPr>
              <w:pStyle w:val="TableContents"/>
              <w:bidi w:val="0"/>
              <w:spacing w:before="0" w:after="283"/>
              <w:jc w:val="left"/>
              <w:rPr/>
            </w:pPr>
            <w:r>
              <w:rPr/>
              <w:t> </w:t>
            </w:r>
          </w:p>
        </w:tc>
        <w:tc>
          <w:tcPr>
            <w:tcW w:w="190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146,000</w:t>
            </w:r>
          </w:p>
        </w:tc>
      </w:tr>
      <w:tr>
        <w:trPr/>
        <w:tc>
          <w:tcPr>
            <w:tcW w:w="289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George Stelljes III</w:t>
            </w:r>
          </w:p>
        </w:tc>
        <w:tc>
          <w:tcPr>
            <w:tcW w:w="146" w:type="dxa"/>
            <w:tcBorders/>
            <w:vAlign w:val="center"/>
          </w:tcPr>
          <w:p>
            <w:pPr>
              <w:pStyle w:val="TableContents"/>
              <w:bidi w:val="0"/>
              <w:spacing w:before="0" w:after="283"/>
              <w:jc w:val="left"/>
              <w:rPr/>
            </w:pPr>
            <w:r>
              <w:rPr/>
              <w:t> </w:t>
            </w:r>
          </w:p>
        </w:tc>
        <w:tc>
          <w:tcPr>
            <w:tcW w:w="390"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132,500</w:t>
            </w:r>
          </w:p>
        </w:tc>
        <w:tc>
          <w:tcPr>
            <w:tcW w:w="146" w:type="dxa"/>
            <w:tcBorders/>
            <w:vAlign w:val="center"/>
          </w:tcPr>
          <w:p>
            <w:pPr>
              <w:pStyle w:val="TableContents"/>
              <w:bidi w:val="0"/>
              <w:spacing w:before="0" w:after="283"/>
              <w:jc w:val="left"/>
              <w:rPr/>
            </w:pPr>
            <w:r>
              <w:rPr/>
              <w:t> </w:t>
            </w:r>
          </w:p>
        </w:tc>
        <w:tc>
          <w:tcPr>
            <w:tcW w:w="19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132,500</w:t>
            </w:r>
          </w:p>
        </w:tc>
      </w:tr>
      <w:tr>
        <w:trPr/>
        <w:tc>
          <w:tcPr>
            <w:tcW w:w="289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Barry Osherow</w:t>
            </w:r>
          </w:p>
        </w:tc>
        <w:tc>
          <w:tcPr>
            <w:tcW w:w="146"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130,000</w:t>
            </w:r>
          </w:p>
        </w:tc>
        <w:tc>
          <w:tcPr>
            <w:tcW w:w="146" w:type="dxa"/>
            <w:tcBorders/>
            <w:shd w:fill="CCEEFF" w:val="clear"/>
            <w:vAlign w:val="center"/>
          </w:tcPr>
          <w:p>
            <w:pPr>
              <w:pStyle w:val="TableContents"/>
              <w:bidi w:val="0"/>
              <w:spacing w:before="0" w:after="283"/>
              <w:jc w:val="left"/>
              <w:rPr/>
            </w:pPr>
            <w:r>
              <w:rPr/>
              <w:t> </w:t>
            </w:r>
          </w:p>
        </w:tc>
        <w:tc>
          <w:tcPr>
            <w:tcW w:w="190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130,000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For a discussion of the independent directors’ compensation, see above.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We do not maintain a stock or option plan, non-equity incentive plan or pension plan for our directors.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48" w:name="T9942"/>
      <w:bookmarkEnd w:id="48"/>
      <w:r>
        <w:rPr>
          <w:rFonts w:ascii="Times New Roman PS Std;serif" w:hAnsi="Times New Roman PS Std;serif"/>
          <w:b/>
          <w:i w:val="false"/>
          <w:caps/>
          <w:sz w:val="20"/>
        </w:rPr>
        <w:t xml:space="preserve">PROPOSAL 2: RATIFY THE APPOINTMENT OF ERNST &amp; YOUNG LLP AS OUR </w:t>
        <w:br/>
        <w:t xml:space="preserve">INDEPENDENT REGISTERED PUBLIC ACCOUNTING FIRM FOR THE 2026 FISCAL YEAR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which is comprised solely of the Independent Directors, and the Board of Directors have selected Ernst &amp; Young LLP to serve as the independent registered public accounting firm for the Company for the fiscal year ending December 31, 2026. This selection is subject to ratification by the stockholders of the Company. Even if the appointment is ratified, the Audit Committee retains discretion to appoint a new independent registered public accounting firm at any time if the Audit Committee concludes such a change would be in the best interests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Ernst &amp; Young LLP has advised us that neither the firm nor any present member or associate of it has any material financial interest, direct or indirect, in the Company or its affiliates. It is expected that a representative of Ernst &amp; Young LLP will be present at the Annual Meeting and will have an opportunity to make a statement if he or she chooses and will be available to answer questions.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May 26, 2026, the Board dismissed PricewaterhouseCoopers LLP as the Company’s independent registered public accounting firm and engaged Ernst &amp; Young LLP. The Board’s decision to dismiss PricewaterhouseCoopers LLP and engage Ernst &amp; Young LLP was approved by the Board based on the recommendation of the Audit Committee. The audit reports of PricewaterhouseCoopers LLP on the Company’s financial statements as of and for the fiscal years ended December 31, 2025 and 2024 did not contain an adverse opinion or disclaimer of opinion and were not qualified or modified as to uncertainty, audit scope or accounting principles. During the fiscal years ended December 31, 2025 and 2024 and in the subsequent interim period through May 26, 2026, there were (i) no disagreements between the Company and PricewaterhouseCoopers LLP on any matter of accounting principles or practices, financial statement disclosure or auditing scope or procedure, which disagreements, if not resolved to the satisfaction of PricewaterhouseCoopers LLP, would have caused PricewaterhouseCoopers LLP to make reference to the subject matter of such disagreements in their reports on the financial statements for such years, and (ii) no “reportable events”, as such term is described in Item 304(a)(1)(v) of Regulation S-K promulgated under the Exchange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two most recent fiscal years and in the subsequent interim period through May 26, 2026, the date of the engagement of Ernst &amp; Young LLP, neither the Company nor any person on its behalf has consulted with Ernst &amp; Young LLP with respect to either (i) the application of accounting principles to a specified transaction, either completed or proposed, or the type of audit opinion that might be rendered on the Company’s consolidated financial statements or (ii) any matter that was either the subject of a “disagreement” or a “reportable event” as such terms are described in Items 304(a)(1)(iv) or 304(a)(1)(v), respectively, of Regulation S-K promulgated under the Exchange Act.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49" w:name="T9943"/>
      <w:bookmarkEnd w:id="49"/>
      <w:r>
        <w:rPr>
          <w:rFonts w:ascii="Times New Roman PS Std;serif" w:hAnsi="Times New Roman PS Std;serif"/>
          <w:b/>
          <w:i w:val="false"/>
          <w:caps w:val="false"/>
          <w:smallCaps w:val="false"/>
          <w:sz w:val="20"/>
        </w:rPr>
        <w:t xml:space="preserve">Independent Auditor’s Fees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December 31, 2025 and December 31, 2024, the Company incurred the following fees for services provided by PricewaterhouseCoopers LLP, including expenses. Effective May 26, 2026, Ernst &amp; Young LLP began serving as the Company’s independent registered public accounting firm. Prior to May 26, 2026, PricewaterhouseCoopers LLP served as the Company’s independent registered public accounting firm since inception:</w:t>
      </w:r>
    </w:p>
    <w:tbl>
      <w:tblPr>
        <w:tblW w:w="5573" w:type="dxa"/>
        <w:jc w:val="left"/>
        <w:tblInd w:w="0" w:type="dxa"/>
        <w:tblLayout w:type="fixed"/>
        <w:tblCellMar>
          <w:top w:w="0" w:type="dxa"/>
          <w:left w:w="0" w:type="dxa"/>
          <w:bottom w:w="0" w:type="dxa"/>
          <w:right w:w="0" w:type="dxa"/>
        </w:tblCellMar>
      </w:tblPr>
      <w:tblGrid>
        <w:gridCol w:w="1966"/>
        <w:gridCol w:w="146"/>
        <w:gridCol w:w="314"/>
        <w:gridCol w:w="1321"/>
        <w:gridCol w:w="146"/>
        <w:gridCol w:w="361"/>
        <w:gridCol w:w="1319"/>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635"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Fiscal Year </w:t>
              <w:br/>
              <w:t xml:space="preserve">Ended </w:t>
              <w:br/>
              <w:t xml:space="preserve">December 31, </w:t>
              <w:br/>
              <w:t>2025</w:t>
            </w:r>
          </w:p>
        </w:tc>
        <w:tc>
          <w:tcPr>
            <w:tcW w:w="146" w:type="dxa"/>
            <w:tcBorders/>
            <w:vAlign w:val="center"/>
          </w:tcPr>
          <w:p>
            <w:pPr>
              <w:pStyle w:val="TableContents"/>
              <w:bidi w:val="0"/>
              <w:spacing w:before="0" w:after="283"/>
              <w:jc w:val="left"/>
              <w:rPr/>
            </w:pPr>
            <w:r>
              <w:rPr/>
              <w:t> </w:t>
            </w:r>
          </w:p>
        </w:tc>
        <w:tc>
          <w:tcPr>
            <w:tcW w:w="1680"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Fiscal Year </w:t>
              <w:br/>
              <w:t xml:space="preserve">Ended </w:t>
              <w:br/>
              <w:t xml:space="preserve">December 31, </w:t>
              <w:br/>
              <w:t>2024</w:t>
            </w:r>
          </w:p>
        </w:tc>
      </w:tr>
      <w:tr>
        <w:trPr/>
        <w:tc>
          <w:tcPr>
            <w:tcW w:w="196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Audit Fees</w:t>
            </w:r>
          </w:p>
        </w:tc>
        <w:tc>
          <w:tcPr>
            <w:tcW w:w="146"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1,015,576</w:t>
            </w:r>
          </w:p>
        </w:tc>
        <w:tc>
          <w:tcPr>
            <w:tcW w:w="146"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9"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947,995</w:t>
            </w:r>
          </w:p>
        </w:tc>
      </w:tr>
      <w:tr>
        <w:trPr/>
        <w:tc>
          <w:tcPr>
            <w:tcW w:w="196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Audit-Related Fees</w:t>
            </w:r>
          </w:p>
        </w:tc>
        <w:tc>
          <w:tcPr>
            <w:tcW w:w="146" w:type="dxa"/>
            <w:tcBorders/>
            <w:vAlign w:val="center"/>
          </w:tcPr>
          <w:p>
            <w:pPr>
              <w:pStyle w:val="TableContents"/>
              <w:bidi w:val="0"/>
              <w:spacing w:before="0" w:after="283"/>
              <w:jc w:val="left"/>
              <w:rPr/>
            </w:pPr>
            <w:r>
              <w:rPr/>
              <w:t> </w:t>
            </w:r>
          </w:p>
        </w:tc>
        <w:tc>
          <w:tcPr>
            <w:tcW w:w="314"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19"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96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Fees</w:t>
            </w:r>
          </w:p>
        </w:tc>
        <w:tc>
          <w:tcPr>
            <w:tcW w:w="146"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19"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96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Other Fees</w:t>
            </w:r>
          </w:p>
        </w:tc>
        <w:tc>
          <w:tcPr>
            <w:tcW w:w="146" w:type="dxa"/>
            <w:tcBorders/>
            <w:vAlign w:val="center"/>
          </w:tcPr>
          <w:p>
            <w:pPr>
              <w:pStyle w:val="TableContents"/>
              <w:bidi w:val="0"/>
              <w:spacing w:before="0" w:after="283"/>
              <w:jc w:val="left"/>
              <w:rPr/>
            </w:pPr>
            <w:r>
              <w:rPr/>
              <w:t> </w:t>
            </w:r>
          </w:p>
        </w:tc>
        <w:tc>
          <w:tcPr>
            <w:tcW w:w="314"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19"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966"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Fees:</w:t>
            </w:r>
          </w:p>
        </w:tc>
        <w:tc>
          <w:tcPr>
            <w:tcW w:w="146" w:type="dxa"/>
            <w:tcBorders/>
            <w:shd w:fill="CCEEFF" w:val="clear"/>
            <w:vAlign w:val="center"/>
          </w:tcPr>
          <w:p>
            <w:pPr>
              <w:pStyle w:val="TableContents"/>
              <w:bidi w:val="0"/>
              <w:spacing w:before="0" w:after="283"/>
              <w:jc w:val="left"/>
              <w:rPr/>
            </w:pPr>
            <w:r>
              <w:rPr/>
              <w:t> </w:t>
            </w:r>
          </w:p>
        </w:tc>
        <w:tc>
          <w:tcPr>
            <w:tcW w:w="314"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2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1,015,576</w:t>
            </w:r>
          </w:p>
        </w:tc>
        <w:tc>
          <w:tcPr>
            <w:tcW w:w="146" w:type="dxa"/>
            <w:tcBorders/>
            <w:shd w:fill="CCEEFF" w:val="clear"/>
            <w:vAlign w:val="center"/>
          </w:tcPr>
          <w:p>
            <w:pPr>
              <w:pStyle w:val="TableContents"/>
              <w:bidi w:val="0"/>
              <w:spacing w:before="0" w:after="283"/>
              <w:jc w:val="left"/>
              <w:rPr/>
            </w:pPr>
            <w:r>
              <w:rPr/>
              <w:t> </w:t>
            </w:r>
          </w:p>
        </w:tc>
        <w:tc>
          <w:tcPr>
            <w:tcW w:w="36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19"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947,995</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Audit Fees.    </w:t>
      </w:r>
      <w:r>
        <w:rPr>
          <w:rFonts w:ascii="Times New Roman PS Std;serif" w:hAnsi="Times New Roman PS Std;serif"/>
          <w:b w:val="false"/>
          <w:i w:val="false"/>
          <w:caps w:val="false"/>
          <w:smallCaps w:val="false"/>
          <w:sz w:val="20"/>
        </w:rPr>
        <w:t>Audit fees consist of fees billed for professional services rendered for the audit of our year-end financial statements, including reviews of interim financial statements, and services that are normally provided by the accountant in connection with statutory and regulatory filings and services provided in connection with securities offerings.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Audit-Related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Fees.    </w:t>
      </w:r>
      <w:r>
        <w:rPr>
          <w:rFonts w:ascii="Times New Roman PS Std;serif" w:hAnsi="Times New Roman PS Std;serif"/>
          <w:b w:val="false"/>
          <w:i w:val="false"/>
          <w:caps w:val="false"/>
          <w:smallCaps w:val="false"/>
          <w:sz w:val="20"/>
        </w:rPr>
        <w:t>Audit-related services consist of fees billed for assurance and related services that are reasonably related to the performance of the audit or review of our financial statements and are not reported under “Audit Fees.” These services include attest services that are not required by statute or regulation and consultations concerning financial accounting and reporting standards.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Tax Fees.    </w:t>
      </w:r>
      <w:r>
        <w:rPr>
          <w:rFonts w:ascii="Times New Roman PS Std;serif" w:hAnsi="Times New Roman PS Std;serif"/>
          <w:b w:val="false"/>
          <w:i w:val="false"/>
          <w:caps w:val="false"/>
          <w:smallCaps w:val="false"/>
          <w:sz w:val="20"/>
        </w:rPr>
        <w:t>Tax fees consist of fees billed for professional services for tax compliance. These services include assistance regarding federal, state, and local tax compliance.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All Other Fees.    </w:t>
      </w:r>
      <w:r>
        <w:rPr>
          <w:rFonts w:ascii="Times New Roman PS Std;serif" w:hAnsi="Times New Roman PS Std;serif"/>
          <w:b w:val="false"/>
          <w:i w:val="false"/>
          <w:caps w:val="false"/>
          <w:smallCaps w:val="false"/>
          <w:sz w:val="20"/>
        </w:rPr>
        <w:t>All other fees would include fees for products and services other than the services reported above.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50" w:name="T99506"/>
      <w:bookmarkEnd w:id="50"/>
      <w:r>
        <w:rPr>
          <w:rFonts w:ascii="Times New Roman PS Std;serif" w:hAnsi="Times New Roman PS Std;serif"/>
          <w:b/>
          <w:i w:val="false"/>
          <w:caps w:val="false"/>
          <w:smallCaps w:val="false"/>
          <w:sz w:val="20"/>
        </w:rPr>
        <w:t xml:space="preserve">Pre-Approval Policy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has established a pre-approval policy that describes the permitted audit, audit-related, tax and other services to be provided by the Company’s independent registered public accounting firm. The policy requires that the Audit Committee pre-approve all services performed by the independent auditor in order to assure that the provision of such service does not impair the auditor’s independence.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requests for audit, audit-related, tax and other services that have not received general pre-approval must be submitted to the Audit Committee for specific pre-approval, irrespective of the amount, and cannot commence until such approval has been granted. Normally, pre-approval is provided at regularly scheduled meetings of the Audit Committee. However, the Audit Committee may delegate pre-approval authority to one or more of its members. The member or members to whom such authority is delegated shall report any pre-approval decisions to the Audit Committee at its next scheduled meeting. The Audit Committee does not delegate its responsibilities to pre-approve services performed by the independent registered public accounting firm to management.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 ended December 31, 2025, the Audit Committee pre-approved 100% of non-audit services in accordance with the pre-approval policy described above.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51" w:name="T9944"/>
      <w:bookmarkEnd w:id="51"/>
      <w:r>
        <w:rPr>
          <w:rFonts w:ascii="Times New Roman PS Std;serif" w:hAnsi="Times New Roman PS Std;serif"/>
          <w:b/>
          <w:i w:val="false"/>
          <w:caps w:val="false"/>
          <w:smallCaps w:val="false"/>
          <w:sz w:val="20"/>
        </w:rPr>
        <w:t xml:space="preserve">Required Vote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affirmative vote of a majority of the votes cast at the Annual Meeting in person or by proxy is required to approve this proposal. Abstentions and Broker Non-Votes, if any, will not be included in determining the number of votes cast and, as a result, will have no effect on this proposal. This proposal is considered a “routine matter”; accordingly, brokers have discretionary authority to vote on this proposal without receiving voting instructions from the beneficial owner of the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Unless marked to the contrary, the shares represented by the enclosed proxy card will be voted for ratification of the appointment of Ernst &amp; Young LLP as the independent registered public accounting firm of the Company for the year ending December 31,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THE BOARD OF DIRECTORS RECOMMENDS THAT YOU VOTE “FOR” THE RATIFICATION OF THE SELECTION OF ERNST &amp; YOUNG LLP AS INDEPENDENT REGISTERED PUBLIC ACCOUNTING FIRM FOR THE COMPANY FOR THE YEAR ENDING DECEMBER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31, 2026.</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2" w:name="T9945"/>
      <w:bookmarkEnd w:id="52"/>
      <w:r>
        <w:rPr>
          <w:rFonts w:ascii="Times New Roman PS Std;serif" w:hAnsi="Times New Roman PS Std;serif"/>
          <w:b/>
          <w:i w:val="false"/>
          <w:caps w:val="false"/>
          <w:smallCaps w:val="false"/>
          <w:sz w:val="20"/>
        </w:rPr>
        <w:t xml:space="preserve">Audit Committee Report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of the Board of Directors of Oxford Square Capital Corp. operates under a written charter adopted by the Board of Directors. The Audit Committee is currently composed of Messrs. Osherow, Novak, and Stelljes.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is responsible for the Company’s internal controls and the financial reporting process. The Company’s independent registered public accounting firm is responsible for performing an independent audit of the Company’s financial statements in accordance with the standards of the Public Company Accounting Oversight Board (United States) (the “PCAOB”) and expressing an opinion on the conformity of those audited financial statements in accordance with accounting principles generally accepted in the United States. The Audit Committee’s responsibility is to monitor and oversee these processes. The Audit Committee is also directly responsible for the appointment, compensation and oversight of the Company’s independent registered public accounting firm.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Review with Management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has reviewed the audited financial statements and met and held discussions with management regarding the audited financial statements. Management has represented to the Audit Committee that the Company’s financial statements were prepared in accordance with accounting principles generally accepted in the United States.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Review and Discussion with Independent Registered Public Accounting Firm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has discussed with PricewaterhouseCoopers LLP, the Company’s independent registered public accounting firm for the fiscal year ended December 31, 2025, matters required to be discussed by the applicable requirements of the PCAOB. The Audit Committee received and reviewed the written disclosures and the letter from the independent registered public accounting firm required by the applicable requirements of the PCAOB and has discussed with the auditors the auditors’ independence. The Audit Committee has also considered the compatibility of non-audit services with the auditors’ independence.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2025, the Audit Committee met with members of senior management and the independent registered public accounting firm to review the certifications provided by the Chief Executive Officer and Chief Financial Officer under Sarbanes-Oxley, the rules and regulations of the SEC and the overall certification process. At these meetings, company officers reviewed each of the Sarbanes-Oxley certification requirements concerning internal control over financial reporting and any fraud, whether or not material, involving management or other employees with a significant role in internal control over financial reporting.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Conclusion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Audit Committee’s discussion with management and the independent registered public accounting firm, the Audit Committee’s review of the audited financial statements, the representations of management and the report of the independent registered public accounting firm to the Audit Committee, the Audit Committee recommended that the Board of Directors include the audited financial statements in the Annual Report of the Company for the year ended December 31, 2025 for filing with the SEC.</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Respectfully Submitted,</w:t>
        <w:br/>
        <w:t>The Audit Committee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Barry A. Osherow</w:t>
        <w:br/>
        <w:t xml:space="preserve">Steven P. Novak </w:t>
        <w:br/>
        <w:t>George Stelljes III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material contained in the foregoing Audit Committee Report is not “soliciting material,” is not deemed “filed” with the SEC, and is not to be incorporated by reference into any filing of the Company under the Exchange Act, whether made before or after the date hereof and irrespective of any general incorporation language in any such filing.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53" w:name="T9946"/>
      <w:bookmarkEnd w:id="53"/>
      <w:r>
        <w:rPr>
          <w:rFonts w:ascii="Times New Roman PS Std;serif" w:hAnsi="Times New Roman PS Std;serif"/>
          <w:b/>
          <w:i w:val="false"/>
          <w:caps/>
          <w:sz w:val="20"/>
        </w:rPr>
        <w:t xml:space="preserve">OTHER MATTERS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4" w:name="T9947"/>
      <w:bookmarkEnd w:id="54"/>
      <w:r>
        <w:rPr>
          <w:rFonts w:ascii="Times New Roman PS Std;serif" w:hAnsi="Times New Roman PS Std;serif"/>
          <w:b/>
          <w:i w:val="false"/>
          <w:caps w:val="false"/>
          <w:smallCaps w:val="false"/>
          <w:sz w:val="20"/>
        </w:rPr>
        <w:t xml:space="preserve">Stockholder Proposals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stockholder proposals submitted pursuant to the SEC’s Rule 14a-8 for inclusion in the Company’s proxy statement and form of proxy for the 2027 annual meeting of stockholders must have been received by the Company on or before March 10, 2027. Such proposals must also comply with the requirements as to form and substance established by the SEC if such proposals are to be included in the Company’s proxy statement and form of proxy. The submission of a proposal does not guarantee its inclusion in the Company’s proxy statement or presentation at the 2027 annual meeting of stockholders. Any such proposal should be mailed to: Oxford Square Capital Corp., c/o Bruce L. Rubin, Corporate Secretary, 8 Sound Shore Drive, Suite 255, Greenwich, Connecticut 06830.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 proposals or director nominations for the Company to be presented at the 2027 annual meeting of stockholders, other than stockholder proposals submitted pursuant to the SEC’s Rule 14a-8, must be delivered to, or mailed and received at, the principal executive offices of the Company not less than 90 days nor more than 120 days prior to the first anniversary of the date of mailing of the notice for the preceding year’s annual meeting of stockholders. For the 2027 annual meeting of stockholders, the Company must have received such proposals and nominations between March 10, 2027 and April 9, 2027. If the date of the mailing of the notice for the 2027 annual meeting is advanced or delayed by more than 30 days from the first anniversary of the date of mailing of the notice for the preceding year’s annual meeting, notice by the stockholder to be timely must be so delivered not earlier than the 120th day prior to the date of mailing of the notice for the 2027 annual meeting and not later than the close of business on the later of the 90th day prior to the date of mailing of the notice for the 2027 annual meeting or the 10th day following the day on which public announcement of the date of mailing of the notice for such meeting is first made. Proposals must also comply with the other requirements contained in the Company’s bylaws, including supporting documentation and other information. Proxies solicited by the Company will confer discretionary voting authority with respect to these proposals, subject to SEC rules governing the exercise of this authority.</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5" w:name="T9948"/>
      <w:bookmarkEnd w:id="55"/>
      <w:r>
        <w:rPr>
          <w:rFonts w:ascii="Times New Roman PS Std;serif" w:hAnsi="Times New Roman PS Std;serif"/>
          <w:b/>
          <w:i w:val="false"/>
          <w:caps w:val="false"/>
          <w:smallCaps w:val="false"/>
          <w:sz w:val="20"/>
        </w:rPr>
        <w:t xml:space="preserve">Other Business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knows of no other business to be presented for action at the Annual Meeting. If any matters do come before the Annual Meeting on which action can properly be taken, it is intended that the proxies shall vote in accordance with the judgment of the person or persons exercising the authority conferred by the proxy at the Annual Meeting. The submission of a proposal does not guarantee its inclusion in the Company’s proxy statement or presentation at the Annual Meeting, unless certain securities law requirements are met.</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6" w:name="T9949"/>
      <w:bookmarkEnd w:id="56"/>
      <w:r>
        <w:rPr>
          <w:rFonts w:ascii="Times New Roman PS Std;serif" w:hAnsi="Times New Roman PS Std;serif"/>
          <w:b/>
          <w:i w:val="false"/>
          <w:caps w:val="false"/>
          <w:smallCaps w:val="false"/>
          <w:sz w:val="20"/>
        </w:rPr>
        <w:t xml:space="preserve">Delivery of Proxy Materials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may be the case that only one copy of the 2026 Proxy Statement, the 2025 Annual Report, or Notice of Annual Meeting will be delivered to two or more stockholders of record of the Company who share an address, unless we have received contrary instructions from one or more of such stockholders. We will deliver promptly, upon request, a separate copy of any of these documents to stockholders of record of the Company at a shared address to which a single copy of such documents was delivered. Stockholders who wish to receive a separate copy of any of these documents, or to receive a single copy of such documents if multiple copies were delivered, now or in the future, should submit their request by calling us at (203) 983-5275 or by writing to Oxford Square Capital Corp., c/o Bruce L. Rubin, Corporate Secretary, 8 Sound Shore Drive, Suite 255, Greenwich, Connecticut 06830.</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7" w:name="T9950"/>
      <w:bookmarkEnd w:id="57"/>
      <w:r>
        <w:rPr>
          <w:rFonts w:ascii="Times New Roman PS Std;serif" w:hAnsi="Times New Roman PS Std;serif"/>
          <w:b/>
          <w:i w:val="false"/>
          <w:caps w:val="false"/>
          <w:smallCaps w:val="false"/>
          <w:sz w:val="20"/>
        </w:rPr>
        <w:t xml:space="preserve">Available Information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are required to file with or submit to the SEC annual, quarterly and periodic reports, proxy statements, and other information meeting the informational requirements of the Exchange Act. The SEC maintains a website that contains reports, proxy and information statements, and other information filed electronically by us with the SEC, which are available on the SEC’s website at </w:t>
      </w:r>
      <w:r>
        <w:rPr>
          <w:rFonts w:ascii="Times New Roman PS Std;serif" w:hAnsi="Times New Roman PS Std;serif"/>
          <w:b w:val="false"/>
          <w:i/>
          <w:caps w:val="false"/>
          <w:smallCaps w:val="false"/>
          <w:sz w:val="20"/>
        </w:rPr>
        <w:t>http://www.sec.gov.</w:t>
      </w:r>
      <w:r>
        <w:rPr>
          <w:rFonts w:ascii="Times New Roman PS Std;serif" w:hAnsi="Times New Roman PS Std;serif"/>
          <w:b w:val="false"/>
          <w:i w:val="false"/>
          <w:caps w:val="false"/>
          <w:smallCaps w:val="false"/>
          <w:sz w:val="20"/>
        </w:rPr>
        <w:t xml:space="preserve"> This information will also be available free of charge by contacting us at Oxford Square Capital Corp., 8 Sound Shore Drive, Suite 255, Greenwich, CT 06830 or by telephone at (203) 983-5275. Copies of our proxy statements, annual, quarterly, and periodic reports, and prospectuses are also available on our website at </w:t>
      </w:r>
      <w:r>
        <w:rPr>
          <w:rFonts w:ascii="Times New Roman PS Std;serif" w:hAnsi="Times New Roman PS Std;serif"/>
          <w:b w:val="false"/>
          <w:i/>
          <w:caps w:val="false"/>
          <w:smallCaps w:val="false"/>
          <w:sz w:val="20"/>
        </w:rPr>
        <w:t>www.oxfordsquarecapital.com</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You are cordially invited to attend the Annual Meeting of stockholders in person. Whether or not you plan to attend the Annual Meeting, you are requested to vote in accordance with the voting instructions in the Notice of Internet Availability of Proxy Materials, or by requesting hard copy proxy materials from us and returning a proxy card so that you may be represented at the Annual Meeting.</w:t>
      </w:r>
    </w:p>
    <w:tbl>
      <w:tblPr>
        <w:tblW w:w="6163" w:type="dxa"/>
        <w:jc w:val="left"/>
        <w:tblInd w:w="0" w:type="dxa"/>
        <w:tblLayout w:type="fixed"/>
        <w:tblCellMar>
          <w:top w:w="0" w:type="dxa"/>
          <w:left w:w="0" w:type="dxa"/>
          <w:bottom w:w="0" w:type="dxa"/>
          <w:right w:w="0" w:type="dxa"/>
        </w:tblCellMar>
      </w:tblPr>
      <w:tblGrid>
        <w:gridCol w:w="2491"/>
        <w:gridCol w:w="146"/>
        <w:gridCol w:w="3526"/>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52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Order of the Board of Directors,</w:t>
            </w:r>
          </w:p>
        </w:tc>
      </w:tr>
      <w:tr>
        <w:trPr/>
        <w:tc>
          <w:tcPr>
            <w:tcW w:w="24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26"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Steven P. Novak </w:t>
              <w:br/>
              <w:t>Chairman</w:t>
            </w:r>
          </w:p>
        </w:tc>
      </w:tr>
      <w:tr>
        <w:trPr/>
        <w:tc>
          <w:tcPr>
            <w:tcW w:w="249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Greenwich, Connecticut </w:t>
              <w:br/>
              <w:t>July 8, 2026</w:t>
            </w:r>
          </w:p>
        </w:tc>
        <w:tc>
          <w:tcPr>
            <w:tcW w:w="146" w:type="dxa"/>
            <w:tcBorders/>
            <w:vAlign w:val="center"/>
          </w:tcPr>
          <w:p>
            <w:pPr>
              <w:pStyle w:val="TableContents"/>
              <w:bidi w:val="0"/>
              <w:spacing w:before="0" w:after="283"/>
              <w:jc w:val="left"/>
              <w:rPr/>
            </w:pPr>
            <w:r>
              <w:rPr/>
              <w:t> </w:t>
            </w:r>
          </w:p>
        </w:tc>
        <w:tc>
          <w:tcPr>
            <w:tcW w:w="3526" w:type="dxa"/>
            <w:tcBorders/>
            <w:vAlign w:val="center"/>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8" w:name="T99501"/>
      <w:bookmarkEnd w:id="58"/>
      <w:r>
        <w:rPr>
          <w:rFonts w:ascii="Times New Roman PS Std;serif" w:hAnsi="Times New Roman PS Std;serif"/>
          <w:b/>
          <w:i w:val="false"/>
          <w:caps w:val="false"/>
          <w:smallCaps w:val="false"/>
          <w:sz w:val="20"/>
        </w:rPr>
        <w:t xml:space="preserve">PRIVACY NOTICE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Your privacy is very important to us. This Privacy Notice sets forth Oxford Square Capital Corp.’s (“our,” “we,” or “Oxford Square”) policies with respect to personal information we collect and process (“Notice”). This Notice applies to investors, prospective investors, and former investors in Oxford Square, as well as to visitors of our website and applicants for employment with us.</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Data Controller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the GDPR applies, and for other data privacy laws with a data controller requirement, Oxford Square is the data controller that directs the purposes for which personal information is processed.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Square is located at: 8 Sound Shore Drive — Suite 255, Greenwich, CT 06830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use personal information about you only for the purposes and in the manner set forth below, which describes the steps we take to ensure the processing of personal information is in compliance with applicable data protection law, including California’s Consumer Privacy Act (“CCPA”) and the European Union’s General Data Protection Regulation (“GDPR”).</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Information we collect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collect personal information from a number of sources, including:</w:t>
      </w:r>
    </w:p>
    <w:tbl>
      <w:tblPr>
        <w:tblW w:w="10205" w:type="dxa"/>
        <w:jc w:val="left"/>
        <w:tblInd w:w="0" w:type="dxa"/>
        <w:tblLayout w:type="fixed"/>
        <w:tblCellMar>
          <w:top w:w="0" w:type="dxa"/>
          <w:left w:w="0" w:type="dxa"/>
          <w:bottom w:w="0" w:type="dxa"/>
          <w:right w:w="0" w:type="dxa"/>
        </w:tblCellMar>
      </w:tblPr>
      <w:tblGrid>
        <w:gridCol w:w="5837"/>
        <w:gridCol w:w="146"/>
        <w:gridCol w:w="4222"/>
      </w:tblGrid>
      <w:tr>
        <w:trPr/>
        <w:tc>
          <w:tcPr>
            <w:tcW w:w="5837" w:type="dxa"/>
            <w:tcBorders/>
            <w:vAlign w:val="center"/>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you or your representative provide, or provided, it to us in correspondence (including when you open an investment) and conversations</w:t>
            </w:r>
          </w:p>
        </w:tc>
        <w:tc>
          <w:tcPr>
            <w:tcW w:w="146" w:type="dxa"/>
            <w:tcBorders/>
            <w:vAlign w:val="center"/>
          </w:tcPr>
          <w:p>
            <w:pPr>
              <w:pStyle w:val="TableContents"/>
              <w:bidi w:val="0"/>
              <w:spacing w:before="0" w:after="283"/>
              <w:jc w:val="left"/>
              <w:rPr/>
            </w:pPr>
            <w:r>
              <w:rPr/>
              <w:t> </w:t>
            </w:r>
          </w:p>
        </w:tc>
        <w:tc>
          <w:tcPr>
            <w:tcW w:w="4222" w:type="dxa"/>
            <w:tcBorders/>
            <w:vAlign w:val="center"/>
          </w:tcPr>
          <w:p>
            <w:pPr>
              <w:pStyle w:val="TableContents"/>
              <w:keepNext w:val="false"/>
              <w:widowControl/>
              <w:pBdr/>
              <w:bidi w:val="0"/>
              <w:spacing w:before="0" w:after="283"/>
              <w:ind w:left="2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publicly available and accessible directories and sources</w:t>
            </w:r>
          </w:p>
        </w:tc>
      </w:tr>
      <w:tr>
        <w:trPr/>
        <w:tc>
          <w:tcPr>
            <w:tcW w:w="5837" w:type="dxa"/>
            <w:tcBorders/>
            <w:vAlign w:val="center"/>
          </w:tcPr>
          <w:p>
            <w:pPr>
              <w:pStyle w:val="TableContents"/>
              <w:keepNext w:val="false"/>
              <w:widowControl/>
              <w:pBdr/>
              <w:bidi w:val="0"/>
              <w:spacing w:before="160" w:after="283"/>
              <w:ind w:left="200" w:right="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recruitment agencies provide us with information for prospective employees</w:t>
            </w:r>
          </w:p>
        </w:tc>
        <w:tc>
          <w:tcPr>
            <w:tcW w:w="146" w:type="dxa"/>
            <w:tcBorders/>
            <w:vAlign w:val="center"/>
          </w:tcPr>
          <w:p>
            <w:pPr>
              <w:pStyle w:val="TableContents"/>
              <w:bidi w:val="0"/>
              <w:spacing w:before="0" w:after="283"/>
              <w:jc w:val="left"/>
              <w:rPr/>
            </w:pPr>
            <w:r>
              <w:rPr/>
              <w:t> </w:t>
            </w:r>
          </w:p>
        </w:tc>
        <w:tc>
          <w:tcPr>
            <w:tcW w:w="4222" w:type="dxa"/>
            <w:tcBorders/>
            <w:vAlign w:val="center"/>
          </w:tcPr>
          <w:p>
            <w:pPr>
              <w:pStyle w:val="TableContents"/>
              <w:keepNext w:val="false"/>
              <w:widowControl/>
              <w:pBdr/>
              <w:bidi w:val="0"/>
              <w:spacing w:before="160" w:after="283"/>
              <w:ind w:left="2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governmental and competent regulatory authorities to whom we have regulatory obligations</w:t>
            </w:r>
          </w:p>
        </w:tc>
      </w:tr>
      <w:tr>
        <w:trPr/>
        <w:tc>
          <w:tcPr>
            <w:tcW w:w="5837" w:type="dxa"/>
            <w:tcBorders/>
            <w:vAlign w:val="center"/>
          </w:tcPr>
          <w:p>
            <w:pPr>
              <w:pStyle w:val="TableContents"/>
              <w:keepNext w:val="false"/>
              <w:widowControl/>
              <w:pBdr/>
              <w:bidi w:val="0"/>
              <w:spacing w:before="160" w:after="283"/>
              <w:ind w:left="200" w:right="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you have made or make transactions or provide transaction documentation</w:t>
            </w:r>
          </w:p>
        </w:tc>
        <w:tc>
          <w:tcPr>
            <w:tcW w:w="146" w:type="dxa"/>
            <w:tcBorders/>
            <w:vAlign w:val="center"/>
          </w:tcPr>
          <w:p>
            <w:pPr>
              <w:pStyle w:val="TableContents"/>
              <w:bidi w:val="0"/>
              <w:spacing w:before="0" w:after="283"/>
              <w:jc w:val="left"/>
              <w:rPr/>
            </w:pPr>
            <w:r>
              <w:rPr/>
              <w:t> </w:t>
            </w:r>
          </w:p>
        </w:tc>
        <w:tc>
          <w:tcPr>
            <w:tcW w:w="4222" w:type="dxa"/>
            <w:tcBorders/>
            <w:vAlign w:val="center"/>
          </w:tcPr>
          <w:p>
            <w:pPr>
              <w:pStyle w:val="TableContents"/>
              <w:keepNext w:val="false"/>
              <w:widowControl/>
              <w:pBdr/>
              <w:bidi w:val="0"/>
              <w:spacing w:before="160" w:after="283"/>
              <w:ind w:left="2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fraud prevention and detection agencies and organizations</w:t>
            </w:r>
          </w:p>
        </w:tc>
      </w:tr>
      <w:tr>
        <w:trPr/>
        <w:tc>
          <w:tcPr>
            <w:tcW w:w="5837" w:type="dxa"/>
            <w:tcBorders/>
            <w:vAlign w:val="center"/>
          </w:tcPr>
          <w:p>
            <w:pPr>
              <w:pStyle w:val="TableContents"/>
              <w:keepNext w:val="false"/>
              <w:widowControl/>
              <w:pBdr/>
              <w:bidi w:val="0"/>
              <w:spacing w:before="160" w:after="283"/>
              <w:ind w:left="200" w:right="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through the use of cookies and similar technologies</w:t>
            </w:r>
          </w:p>
        </w:tc>
        <w:tc>
          <w:tcPr>
            <w:tcW w:w="146" w:type="dxa"/>
            <w:tcBorders/>
            <w:vAlign w:val="center"/>
          </w:tcPr>
          <w:p>
            <w:pPr>
              <w:pStyle w:val="TableContents"/>
              <w:bidi w:val="0"/>
              <w:spacing w:before="0" w:after="283"/>
              <w:jc w:val="left"/>
              <w:rPr/>
            </w:pPr>
            <w:r>
              <w:rPr/>
              <w:t> </w:t>
            </w:r>
          </w:p>
        </w:tc>
        <w:tc>
          <w:tcPr>
            <w:tcW w:w="4222" w:type="dxa"/>
            <w:tcBorders/>
            <w:vAlign w:val="center"/>
          </w:tcPr>
          <w:p>
            <w:pPr>
              <w:pStyle w:val="TableContents"/>
              <w:bidi w:val="0"/>
              <w:spacing w:before="0" w:after="283"/>
              <w:jc w:val="left"/>
              <w:rPr/>
            </w:pPr>
            <w:r>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types of personal information we collect and share depend on the product or service you have with us. The personal information we collect, the basis of processing and the purposes of processing are detailed below. For EU/UK data subjects, we have a lawful basis under the GDPR for each of our processing activities, as set out below:</w:t>
      </w:r>
    </w:p>
    <w:tbl>
      <w:tblPr>
        <w:tblW w:w="10205" w:type="dxa"/>
        <w:jc w:val="left"/>
        <w:tblInd w:w="0" w:type="dxa"/>
        <w:tblLayout w:type="fixed"/>
        <w:tblCellMar>
          <w:top w:w="0" w:type="dxa"/>
          <w:left w:w="0" w:type="dxa"/>
          <w:bottom w:w="0" w:type="dxa"/>
          <w:right w:w="0" w:type="dxa"/>
        </w:tblCellMar>
      </w:tblPr>
      <w:tblGrid>
        <w:gridCol w:w="2921"/>
        <w:gridCol w:w="146"/>
        <w:gridCol w:w="1483"/>
        <w:gridCol w:w="146"/>
        <w:gridCol w:w="5509"/>
      </w:tblGrid>
      <w:tr>
        <w:trPr/>
        <w:tc>
          <w:tcPr>
            <w:tcW w:w="292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What we collect</w:t>
            </w:r>
          </w:p>
        </w:tc>
        <w:tc>
          <w:tcPr>
            <w:tcW w:w="146" w:type="dxa"/>
            <w:tcBorders/>
            <w:vAlign w:val="center"/>
          </w:tcPr>
          <w:p>
            <w:pPr>
              <w:pStyle w:val="TableContents"/>
              <w:bidi w:val="0"/>
              <w:spacing w:before="0" w:after="283"/>
              <w:jc w:val="left"/>
              <w:rPr/>
            </w:pPr>
            <w:r>
              <w:rPr/>
              <w:t> </w:t>
            </w:r>
          </w:p>
        </w:tc>
        <w:tc>
          <w:tcPr>
            <w:tcW w:w="1483"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Why do we collect it</w:t>
            </w:r>
          </w:p>
        </w:tc>
        <w:tc>
          <w:tcPr>
            <w:tcW w:w="146" w:type="dxa"/>
            <w:tcBorders/>
            <w:vAlign w:val="center"/>
          </w:tcPr>
          <w:p>
            <w:pPr>
              <w:pStyle w:val="TableContents"/>
              <w:bidi w:val="0"/>
              <w:spacing w:before="0" w:after="283"/>
              <w:jc w:val="left"/>
              <w:rPr/>
            </w:pPr>
            <w:r>
              <w:rPr/>
              <w:t> </w:t>
            </w:r>
          </w:p>
        </w:tc>
        <w:tc>
          <w:tcPr>
            <w:tcW w:w="5509"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Lawful Basis</w:t>
            </w:r>
          </w:p>
        </w:tc>
      </w:tr>
      <w:tr>
        <w:trPr/>
        <w:tc>
          <w:tcPr>
            <w:tcW w:w="2921" w:type="dxa"/>
            <w:tcBorders/>
            <w:vAlign w:val="center"/>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Personal details such as name, address, postal and email address, phone number, Social Security Number or other Tax ID Number, driver’s license number, employment information, and financial information</w:t>
            </w:r>
          </w:p>
        </w:tc>
        <w:tc>
          <w:tcPr>
            <w:tcW w:w="146" w:type="dxa"/>
            <w:tcBorders/>
            <w:vAlign w:val="center"/>
          </w:tcPr>
          <w:p>
            <w:pPr>
              <w:pStyle w:val="TableContents"/>
              <w:bidi w:val="0"/>
              <w:spacing w:before="0" w:after="283"/>
              <w:jc w:val="left"/>
              <w:rPr/>
            </w:pPr>
            <w:r>
              <w:rPr/>
              <w:t> </w:t>
            </w:r>
          </w:p>
        </w:tc>
        <w:tc>
          <w:tcPr>
            <w:tcW w:w="1483"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open and administer your investment</w:t>
            </w:r>
          </w:p>
        </w:tc>
        <w:tc>
          <w:tcPr>
            <w:tcW w:w="146" w:type="dxa"/>
            <w:tcBorders/>
            <w:vAlign w:val="center"/>
          </w:tcPr>
          <w:p>
            <w:pPr>
              <w:pStyle w:val="TableContents"/>
              <w:bidi w:val="0"/>
              <w:spacing w:before="0" w:after="283"/>
              <w:jc w:val="left"/>
              <w:rPr/>
            </w:pPr>
            <w:r>
              <w:rPr/>
              <w:t> </w:t>
            </w:r>
          </w:p>
        </w:tc>
        <w:tc>
          <w:tcPr>
            <w:tcW w:w="5509" w:type="dxa"/>
            <w:tcBorders/>
            <w:vAlign w:val="center"/>
          </w:tcPr>
          <w:p>
            <w:pPr>
              <w:pStyle w:val="TableContents"/>
              <w:keepNext w:val="false"/>
              <w:widowControl/>
              <w:pBdr/>
              <w:bidi w:val="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is necessary to enter into or perform our contractual obligations to you (for example, to administer, manage and set up your investment, or to facilitate the transfer of funds, and administering and facilitating any other transaction).</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also necessary to comply with our legal and regulatory obligations, for example, to verify the identity and address of our investors, maintain statutory registers, comply with the U.S. Office of Foreign Assets Control list and other governmental sanction lists, to prevent and detect fraud, to maintain the integrity and security of our systems, to carry out audit checks and conduct surveillance and investigations, comply with lawful requests.</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3566"/>
        <w:gridCol w:w="146"/>
        <w:gridCol w:w="1914"/>
        <w:gridCol w:w="146"/>
        <w:gridCol w:w="4433"/>
      </w:tblGrid>
      <w:tr>
        <w:trPr/>
        <w:tc>
          <w:tcPr>
            <w:tcW w:w="356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What we collect</w:t>
            </w:r>
          </w:p>
        </w:tc>
        <w:tc>
          <w:tcPr>
            <w:tcW w:w="146" w:type="dxa"/>
            <w:tcBorders/>
            <w:vAlign w:val="center"/>
          </w:tcPr>
          <w:p>
            <w:pPr>
              <w:pStyle w:val="TableContents"/>
              <w:bidi w:val="0"/>
              <w:spacing w:before="0" w:after="283"/>
              <w:jc w:val="left"/>
              <w:rPr/>
            </w:pPr>
            <w:r>
              <w:rPr/>
              <w:t> </w:t>
            </w:r>
          </w:p>
        </w:tc>
        <w:tc>
          <w:tcPr>
            <w:tcW w:w="1914"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Why do we collect it</w:t>
            </w:r>
          </w:p>
        </w:tc>
        <w:tc>
          <w:tcPr>
            <w:tcW w:w="146" w:type="dxa"/>
            <w:tcBorders/>
            <w:vAlign w:val="center"/>
          </w:tcPr>
          <w:p>
            <w:pPr>
              <w:pStyle w:val="TableContents"/>
              <w:bidi w:val="0"/>
              <w:spacing w:before="0" w:after="283"/>
              <w:jc w:val="left"/>
              <w:rPr/>
            </w:pPr>
            <w:r>
              <w:rPr/>
              <w:t> </w:t>
            </w:r>
          </w:p>
        </w:tc>
        <w:tc>
          <w:tcPr>
            <w:tcW w:w="4433"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Lawful Basis</w:t>
            </w:r>
          </w:p>
        </w:tc>
      </w:tr>
      <w:tr>
        <w:trPr/>
        <w:tc>
          <w:tcPr>
            <w:tcW w:w="35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1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433" w:type="dxa"/>
            <w:tcBorders/>
            <w:vAlign w:val="center"/>
          </w:tcPr>
          <w:p>
            <w:pPr>
              <w:pStyle w:val="TableContents"/>
              <w:keepNext w:val="false"/>
              <w:widowControl/>
              <w:pBdr/>
              <w:bidi w:val="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also in our legitimate interest to manage our risk and monitor, improve our relationship with you, and keep you up to date on our latest offerings and investment opportunities, which are not outweighed by the privacy impacts on you.</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an applicant for employment, we use this information to set up and administer your application. It is necessary to take steps at your request prior to entering into a contract (e.g. to respond to your queries and to provide you with further information; or where you have submitted an application to become our customer and to verify your creditworthiness.</w:t>
            </w:r>
          </w:p>
        </w:tc>
      </w:tr>
      <w:tr>
        <w:trPr/>
        <w:tc>
          <w:tcPr>
            <w:tcW w:w="3566" w:type="dxa"/>
            <w:tcBorders/>
            <w:vAlign w:val="center"/>
          </w:tcPr>
          <w:p>
            <w:pPr>
              <w:pStyle w:val="TableContents"/>
              <w:keepNext w:val="false"/>
              <w:widowControl/>
              <w:pBdr/>
              <w:bidi w:val="0"/>
              <w:spacing w:before="160" w:after="283"/>
              <w:ind w:left="200" w:right="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email address, postal address</w:t>
            </w:r>
          </w:p>
        </w:tc>
        <w:tc>
          <w:tcPr>
            <w:tcW w:w="146" w:type="dxa"/>
            <w:tcBorders/>
            <w:vAlign w:val="center"/>
          </w:tcPr>
          <w:p>
            <w:pPr>
              <w:pStyle w:val="TableContents"/>
              <w:bidi w:val="0"/>
              <w:spacing w:before="0" w:after="283"/>
              <w:jc w:val="left"/>
              <w:rPr/>
            </w:pPr>
            <w:r>
              <w:rPr/>
              <w:t> </w:t>
            </w:r>
          </w:p>
        </w:tc>
        <w:tc>
          <w:tcPr>
            <w:tcW w:w="1914" w:type="dxa"/>
            <w:tcBorders/>
            <w:vAlign w:val="center"/>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provide you with, and inform you about, our investment products and services and keep you updated.</w:t>
            </w:r>
          </w:p>
        </w:tc>
        <w:tc>
          <w:tcPr>
            <w:tcW w:w="146" w:type="dxa"/>
            <w:tcBorders/>
            <w:vAlign w:val="center"/>
          </w:tcPr>
          <w:p>
            <w:pPr>
              <w:pStyle w:val="TableContents"/>
              <w:bidi w:val="0"/>
              <w:spacing w:before="0" w:after="283"/>
              <w:jc w:val="left"/>
              <w:rPr/>
            </w:pPr>
            <w:r>
              <w:rPr/>
              <w:t> </w:t>
            </w:r>
          </w:p>
        </w:tc>
        <w:tc>
          <w:tcPr>
            <w:tcW w:w="4433" w:type="dxa"/>
            <w:tcBorders/>
            <w:vAlign w:val="center"/>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in our legitimate interest to keep you up to date on our latest offerings and investment opportunities.</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 California Residents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personal information about you that we collect includes information within the below categories of data. These categories also represent the categories of personal information that we have collected over the past 12 months. We collect this information as per section 2 above, and we share this information as per section 3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that the categories listed below are defined by California state law. Inclusion of a category in the list below indicates only that, depending on the services and products we provide you, we may collect some information within that category. It does not necessarily mean that we collect all information listed in a particular category for all of our customers.</w:t>
      </w:r>
    </w:p>
    <w:tbl>
      <w:tblPr>
        <w:tblW w:w="10205" w:type="dxa"/>
        <w:jc w:val="left"/>
        <w:tblInd w:w="0" w:type="dxa"/>
        <w:tblLayout w:type="fixed"/>
        <w:tblCellMar>
          <w:top w:w="0" w:type="dxa"/>
          <w:left w:w="0" w:type="dxa"/>
          <w:bottom w:w="0" w:type="dxa"/>
          <w:right w:w="0" w:type="dxa"/>
        </w:tblCellMar>
      </w:tblPr>
      <w:tblGrid>
        <w:gridCol w:w="3606"/>
        <w:gridCol w:w="146"/>
        <w:gridCol w:w="6453"/>
      </w:tblGrid>
      <w:tr>
        <w:trPr/>
        <w:tc>
          <w:tcPr>
            <w:tcW w:w="360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Categories of data collected</w:t>
            </w:r>
          </w:p>
        </w:tc>
        <w:tc>
          <w:tcPr>
            <w:tcW w:w="146" w:type="dxa"/>
            <w:tcBorders/>
            <w:vAlign w:val="center"/>
          </w:tcPr>
          <w:p>
            <w:pPr>
              <w:pStyle w:val="TableContents"/>
              <w:bidi w:val="0"/>
              <w:spacing w:before="0" w:after="283"/>
              <w:jc w:val="left"/>
              <w:rPr/>
            </w:pPr>
            <w:r>
              <w:rPr/>
              <w:t> </w:t>
            </w:r>
          </w:p>
        </w:tc>
        <w:tc>
          <w:tcPr>
            <w:tcW w:w="6453"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Purpose of collection</w:t>
            </w:r>
          </w:p>
        </w:tc>
      </w:tr>
      <w:tr>
        <w:trPr/>
        <w:tc>
          <w:tcPr>
            <w:tcW w:w="3606" w:type="dxa"/>
            <w:tcBorders/>
            <w:vAlign w:val="center"/>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Identifiers such as a real name, alias, postal address, unique personal identifier, online identifier, internet protocol address, email address, account name, social security number, driver’s license number, passport number, or other similar identifiers</w:t>
            </w:r>
          </w:p>
        </w:tc>
        <w:tc>
          <w:tcPr>
            <w:tcW w:w="146" w:type="dxa"/>
            <w:tcBorders/>
            <w:vAlign w:val="center"/>
          </w:tcPr>
          <w:p>
            <w:pPr>
              <w:pStyle w:val="TableContents"/>
              <w:bidi w:val="0"/>
              <w:spacing w:before="0" w:after="283"/>
              <w:jc w:val="left"/>
              <w:rPr/>
            </w:pPr>
            <w:r>
              <w:rPr/>
              <w:t> </w:t>
            </w:r>
          </w:p>
        </w:tc>
        <w:tc>
          <w:tcPr>
            <w:tcW w:w="6453" w:type="dxa"/>
            <w:tcBorders/>
            <w:vAlign w:val="center"/>
          </w:tcPr>
          <w:p>
            <w:pPr>
              <w:pStyle w:val="TableContents"/>
              <w:keepNext w:val="false"/>
              <w:widowControl/>
              <w:pBdr/>
              <w:bidi w:val="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is necessary to perform our obligations to you to administer, manage and set up your investment and to facilitate the transfer of funds, and administering and facilitating any other transactions.</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is necessary for compliance with an applicable legal or regulatory obligation which we are subject to verify the identity and addresses of our investors (and, if applicable their beneficial owners) comply with requests from regulatory, governmental, tax and law enforcement authorities maintain statutory registers prevent and detect fraud comply with the U.S Office of Foreign Assets Control list and other governmental sanctions lists carry out audit checks and conduct surveillance and investigations.</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607"/>
        <w:gridCol w:w="146"/>
        <w:gridCol w:w="5452"/>
      </w:tblGrid>
      <w:tr>
        <w:trPr/>
        <w:tc>
          <w:tcPr>
            <w:tcW w:w="4607"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Categories of data collected</w:t>
            </w:r>
          </w:p>
        </w:tc>
        <w:tc>
          <w:tcPr>
            <w:tcW w:w="146" w:type="dxa"/>
            <w:tcBorders/>
            <w:vAlign w:val="center"/>
          </w:tcPr>
          <w:p>
            <w:pPr>
              <w:pStyle w:val="TableContents"/>
              <w:bidi w:val="0"/>
              <w:spacing w:before="0" w:after="283"/>
              <w:jc w:val="left"/>
              <w:rPr/>
            </w:pPr>
            <w:r>
              <w:rPr/>
              <w:t> </w:t>
            </w:r>
          </w:p>
        </w:tc>
        <w:tc>
          <w:tcPr>
            <w:tcW w:w="5452"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Purpose of collection</w:t>
            </w:r>
          </w:p>
        </w:tc>
      </w:tr>
      <w:tr>
        <w:trPr/>
        <w:tc>
          <w:tcPr>
            <w:tcW w:w="46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452"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is necessary to address or investigate any complaints, claims, proceedings or disputes; to provide you with, and inform you about, our investment products and services monitor and improve our relationships with investors; send direct marketing communications to you; manage our risk and operations; comply with our audit requirements assist with internal compliance with our policies and process ensure appropriate group management and governance; to maintain the integrity and security of our systems; enable any actual or proposed assignee or transferee, participant or sub-participant of the partnership’s or our rights or obligations to evaluate proposed transactions analyze and manage commercial risks; monitor communications to/from us using our systems facilitate business asset transactions involving the Company or related investment vehicles.</w:t>
            </w:r>
          </w:p>
        </w:tc>
      </w:tr>
      <w:tr>
        <w:trPr/>
        <w:tc>
          <w:tcPr>
            <w:tcW w:w="46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452" w:type="dxa"/>
            <w:tcBorders/>
            <w:vAlign w:val="center"/>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an applicant for employment, we use this information to set up and administer your application.</w:t>
            </w:r>
          </w:p>
        </w:tc>
      </w:tr>
      <w:tr>
        <w:trPr/>
        <w:tc>
          <w:tcPr>
            <w:tcW w:w="4607" w:type="dxa"/>
            <w:tcBorders/>
            <w:vAlign w:val="center"/>
          </w:tcPr>
          <w:p>
            <w:pPr>
              <w:pStyle w:val="TableContents"/>
              <w:keepNext w:val="false"/>
              <w:widowControl/>
              <w:pBdr/>
              <w:bidi w:val="0"/>
              <w:spacing w:before="160" w:after="283"/>
              <w:ind w:left="200" w:right="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that identifies, relates to, describes, or is capable of being associated with, a particular individual, including, but not limited to, your name, signature, social security number, physical characteristics or description, address, telephone number, passport number, driver’s license or state identification card number, insurance policy number, education, employment, employment history, bank account number, credit card number, debit card number, wire transfer information, or any other financial information, such as the amount invested and details of the investment made, medical information, or health insurance information.</w:t>
            </w:r>
          </w:p>
        </w:tc>
        <w:tc>
          <w:tcPr>
            <w:tcW w:w="146" w:type="dxa"/>
            <w:tcBorders/>
            <w:vAlign w:val="center"/>
          </w:tcPr>
          <w:p>
            <w:pPr>
              <w:pStyle w:val="TableContents"/>
              <w:bidi w:val="0"/>
              <w:spacing w:before="0" w:after="283"/>
              <w:jc w:val="left"/>
              <w:rPr/>
            </w:pPr>
            <w:r>
              <w:rPr/>
              <w:t> </w:t>
            </w:r>
          </w:p>
        </w:tc>
        <w:tc>
          <w:tcPr>
            <w:tcW w:w="5452" w:type="dxa"/>
            <w:tcBorders/>
            <w:vAlign w:val="center"/>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is necessary to perform our obligations to you to administer, manage and set up your investment and to facilitate the transfer of funds, and administering and facilitating any other transactions. </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is necessary for compliance with an applicable legal or regulatory obligation which we are subject to verify the identity and addresses of our investors (and, if applicable their beneficial owners) comply with requests from regulatory, governmental, tax and law enforcement authorities maintain statutory registers prevent and detect fraud comply with the U.S Office of Foreign Assets Control list and other governmental sanctions lists carry out audit checks and conduct surveillance and investigations.</w:t>
            </w:r>
          </w:p>
        </w:tc>
      </w:tr>
      <w:tr>
        <w:trPr/>
        <w:tc>
          <w:tcPr>
            <w:tcW w:w="4607" w:type="dxa"/>
            <w:tcBorders/>
            <w:vAlign w:val="center"/>
          </w:tcPr>
          <w:p>
            <w:pPr>
              <w:pStyle w:val="TableContents"/>
              <w:keepNext w:val="false"/>
              <w:widowControl/>
              <w:pBdr/>
              <w:bidi w:val="0"/>
              <w:spacing w:before="160" w:after="283"/>
              <w:ind w:left="200" w:right="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Commercial information, including records of your transactions with us and banking information</w:t>
            </w:r>
          </w:p>
        </w:tc>
        <w:tc>
          <w:tcPr>
            <w:tcW w:w="146" w:type="dxa"/>
            <w:tcBorders/>
            <w:vAlign w:val="center"/>
          </w:tcPr>
          <w:p>
            <w:pPr>
              <w:pStyle w:val="TableContents"/>
              <w:bidi w:val="0"/>
              <w:spacing w:before="0" w:after="283"/>
              <w:jc w:val="left"/>
              <w:rPr/>
            </w:pPr>
            <w:r>
              <w:rPr/>
              <w:t> </w:t>
            </w:r>
          </w:p>
        </w:tc>
        <w:tc>
          <w:tcPr>
            <w:tcW w:w="5452" w:type="dxa"/>
            <w:tcBorders/>
            <w:vAlign w:val="center"/>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is necessary to perform our obligations to you to administer, manage and set up your investment and to facilitate the transfer of funds, and administering and facilitating any other transactions.</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is necessary for compliance with an applicable legal or regulatory obligation which we are subject to verify the identity and addresses of our investors (and, if applicable their beneficial owners) comply with requests from regulatory, governmental, tax and law enforcement authorities maintain statutory registers prevent and detect fraud comply with the U.S Office of Foreign Assets Control list and other governmental sanctions lists carry out audit checks and conduct surveillance and investigations.</w:t>
            </w:r>
          </w:p>
        </w:tc>
      </w:tr>
      <w:tr>
        <w:trPr/>
        <w:tc>
          <w:tcPr>
            <w:tcW w:w="4607" w:type="dxa"/>
            <w:tcBorders/>
            <w:vAlign w:val="center"/>
          </w:tcPr>
          <w:p>
            <w:pPr>
              <w:pStyle w:val="TableContents"/>
              <w:keepNext w:val="false"/>
              <w:widowControl/>
              <w:pBdr/>
              <w:bidi w:val="0"/>
              <w:spacing w:before="160" w:after="283"/>
              <w:ind w:left="200" w:right="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or employment-related information</w:t>
            </w:r>
          </w:p>
        </w:tc>
        <w:tc>
          <w:tcPr>
            <w:tcW w:w="146" w:type="dxa"/>
            <w:tcBorders/>
            <w:vAlign w:val="center"/>
          </w:tcPr>
          <w:p>
            <w:pPr>
              <w:pStyle w:val="TableContents"/>
              <w:bidi w:val="0"/>
              <w:spacing w:before="0" w:after="283"/>
              <w:jc w:val="left"/>
              <w:rPr/>
            </w:pPr>
            <w:r>
              <w:rPr/>
              <w:t> </w:t>
            </w:r>
          </w:p>
        </w:tc>
        <w:tc>
          <w:tcPr>
            <w:tcW w:w="5452" w:type="dxa"/>
            <w:tcBorders/>
            <w:vAlign w:val="center"/>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is necessary to perform our obligations to you to administer, manage and set up your investment. </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an applicant for employment, we use this information to set up and administer your application.</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458"/>
        <w:gridCol w:w="146"/>
        <w:gridCol w:w="5601"/>
      </w:tblGrid>
      <w:tr>
        <w:trPr/>
        <w:tc>
          <w:tcPr>
            <w:tcW w:w="4458"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Categories of data collected</w:t>
            </w:r>
          </w:p>
        </w:tc>
        <w:tc>
          <w:tcPr>
            <w:tcW w:w="146" w:type="dxa"/>
            <w:tcBorders/>
            <w:vAlign w:val="center"/>
          </w:tcPr>
          <w:p>
            <w:pPr>
              <w:pStyle w:val="TableContents"/>
              <w:bidi w:val="0"/>
              <w:spacing w:before="0" w:after="283"/>
              <w:jc w:val="left"/>
              <w:rPr/>
            </w:pPr>
            <w:r>
              <w:rPr/>
              <w:t> </w:t>
            </w:r>
          </w:p>
        </w:tc>
        <w:tc>
          <w:tcPr>
            <w:tcW w:w="560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Purpose of collection</w:t>
            </w:r>
          </w:p>
        </w:tc>
      </w:tr>
      <w:tr>
        <w:trPr/>
        <w:tc>
          <w:tcPr>
            <w:tcW w:w="4458" w:type="dxa"/>
            <w:tcBorders/>
            <w:vAlign w:val="center"/>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Characteristics of classes protected under federal or California law, including: familial status, disability, sex, national origin, religion, color, race, sexual orientation, gender identity and gender expression, marital status, veteran status, medical condition, ancestry, source of income, age, or genetic information.</w:t>
            </w:r>
          </w:p>
        </w:tc>
        <w:tc>
          <w:tcPr>
            <w:tcW w:w="146" w:type="dxa"/>
            <w:tcBorders/>
            <w:vAlign w:val="center"/>
          </w:tcPr>
          <w:p>
            <w:pPr>
              <w:pStyle w:val="TableContents"/>
              <w:bidi w:val="0"/>
              <w:spacing w:before="0" w:after="283"/>
              <w:jc w:val="left"/>
              <w:rPr/>
            </w:pPr>
            <w:r>
              <w:rPr/>
              <w:t> </w:t>
            </w:r>
          </w:p>
        </w:tc>
        <w:tc>
          <w:tcPr>
            <w:tcW w:w="560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an applicant for employment, we use this information to set up and administer your application, including to provide any reasonable accommodations you may require.</w:t>
            </w:r>
          </w:p>
        </w:tc>
      </w:tr>
      <w:tr>
        <w:trPr/>
        <w:tc>
          <w:tcPr>
            <w:tcW w:w="4458" w:type="dxa"/>
            <w:tcBorders/>
            <w:vAlign w:val="center"/>
          </w:tcPr>
          <w:p>
            <w:pPr>
              <w:pStyle w:val="TableContents"/>
              <w:keepNext w:val="false"/>
              <w:widowControl/>
              <w:pBdr/>
              <w:bidi w:val="0"/>
              <w:spacing w:before="160" w:after="283"/>
              <w:ind w:left="200" w:right="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Internet or other electronic network activity information, including, but not limited to, browsing history, search history, and information regarding a consumer’s interaction with an Internet Web site, application, or advertisement.</w:t>
            </w:r>
          </w:p>
        </w:tc>
        <w:tc>
          <w:tcPr>
            <w:tcW w:w="146" w:type="dxa"/>
            <w:tcBorders/>
            <w:vAlign w:val="center"/>
          </w:tcPr>
          <w:p>
            <w:pPr>
              <w:pStyle w:val="TableContents"/>
              <w:bidi w:val="0"/>
              <w:spacing w:before="0" w:after="283"/>
              <w:jc w:val="left"/>
              <w:rPr/>
            </w:pPr>
            <w:r>
              <w:rPr/>
              <w:t> </w:t>
            </w:r>
          </w:p>
        </w:tc>
        <w:tc>
          <w:tcPr>
            <w:tcW w:w="5601" w:type="dxa"/>
            <w:tcBorders/>
            <w:vAlign w:val="center"/>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optimize performance of our websites, provide products and services to our customers, and to audit our interactions with our investors and applicants for employment. It is also processed to detect security incidents, protect against malicious, deceptive, fraudulent or illegal activity, and for data analytics. It is also necessary to ensure compliance with our policies and procedures.</w:t>
            </w:r>
          </w:p>
        </w:tc>
      </w:tr>
    </w:tbl>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      Sharing your personal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share your personal information with our adviser, Oxford Square Management, LLC, and to certain service providers such as our accountants, administrator, attorneys, auditors, transfer agents and brokers, in each case for our everyday business purposes, such as to facilitate the acceptance and management of your investment or account and our relationship with you, or as otherwise permitted by applicable law. We will take reasonably necessary steps to ensure that where personal information is shared, it is treated securely and in accordance with this Privacy Notice and applicable laws. We require our service providers to provide written assurances regarding the security and privacy protections they have in place to protect any personal information transferred or disclosed to them, as well as their compliance with our security requirements and any applicable laws and regulations.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also disclose the information we collect: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you request or authorize disclosure of the information, in each case in accordance with the agreements governing your investment;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As required by law — for example, to cooperate with any government regulators, self-regulatory organization or law enforcement authorities;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As otherwise permitted by law — for example, (i) to service providers who maintain, process or service our funds; (ii) in connection with the making, management or disposition of any fund investment; (iii) as otherwise necessary to effect, administer or enforce investment or fund transactions; or (iv) in connection with a sale or other transfer of our public entities. We may also share information with attorneys, accountants, other service providers and with persons otherwise acting in a representative or fiduciary capacity on behalf of investors or the funds;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share information with service providers that perform marketing services on our behalf.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and will not, sell personal information to third parties, as that term is defined by California law, nor have we done so in the past 12 months. In addition, we do not share personal information with third parties for their direct marketing purposes.</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      Retention of your personal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general principle, we do not retain your personal information for longer than we need it. We keep your personal information only for as long as it is required to provide our services, perform our contractual obligations, or to meet our statutory or regulatory requirements. We typically delete personal information about you 6 years after you are no longer our client.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Your rights regarding your personal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Depending on where you live, your current jurisdiction and applicable data protection laws, and subject to any relevant restrictions/exemption, you may be entitled to certain rights with regards to our processing of your personal information. (</w:t>
      </w:r>
      <w:r>
        <w:rPr>
          <w:rFonts w:ascii="Times New Roman PS Std;serif" w:hAnsi="Times New Roman PS Std;serif"/>
          <w:b/>
          <w:i w:val="false"/>
          <w:caps w:val="false"/>
          <w:smallCaps w:val="false"/>
          <w:sz w:val="20"/>
        </w:rPr>
        <w:t>Please note</w:t>
      </w:r>
      <w:r>
        <w:rPr>
          <w:rFonts w:ascii="Times New Roman PS Std;serif" w:hAnsi="Times New Roman PS Std;serif"/>
          <w:b w:val="false"/>
          <w:i w:val="false"/>
          <w:caps w:val="false"/>
          <w:smallCaps w:val="false"/>
          <w:sz w:val="20"/>
        </w:rPr>
        <w:t>: depending on the country you live in and the applicable data protection laws, you may only have access to some of the rights listed below).</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Your rights under the California Consumer Privacy Act (“CCPA”)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we have collected information about you that is not governed by the GLBA or FCRA, you may have the rights described below with respect to personal information about you, residents of California may have certain data protection rights under CCPA relating to certain personal information, including:</w:t>
      </w:r>
    </w:p>
    <w:tbl>
      <w:tblPr>
        <w:tblW w:w="10205" w:type="dxa"/>
        <w:jc w:val="left"/>
        <w:tblInd w:w="0" w:type="dxa"/>
        <w:tblLayout w:type="fixed"/>
        <w:tblCellMar>
          <w:top w:w="0" w:type="dxa"/>
          <w:left w:w="0" w:type="dxa"/>
          <w:bottom w:w="0" w:type="dxa"/>
          <w:right w:w="0" w:type="dxa"/>
        </w:tblCellMar>
      </w:tblPr>
      <w:tblGrid>
        <w:gridCol w:w="4428"/>
        <w:gridCol w:w="146"/>
        <w:gridCol w:w="5631"/>
      </w:tblGrid>
      <w:tr>
        <w:trPr/>
        <w:tc>
          <w:tcPr>
            <w:tcW w:w="4428" w:type="dxa"/>
            <w:tcBorders/>
            <w:vAlign w:val="center"/>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u w:val="single"/>
              </w:rPr>
              <w:t>Right of access</w:t>
            </w:r>
            <w:r>
              <w:rPr>
                <w:rFonts w:ascii="Times New Roman PS Std;serif" w:hAnsi="Times New Roman PS Std;serif"/>
                <w:b w:val="false"/>
                <w:i w:val="false"/>
                <w:caps w:val="false"/>
                <w:smallCaps w:val="false"/>
                <w:sz w:val="20"/>
              </w:rPr>
              <w:t> — You may be entitled to request that we disclose the categories and specific pieces of personal information that we have collected about you, the categories of sources from which the information was collected, the purposes of collecting the information, the categories of third parties we have shared the information with, and the categories of personal information that have been shared with third parties for a business purpose.</w:t>
            </w:r>
          </w:p>
        </w:tc>
        <w:tc>
          <w:tcPr>
            <w:tcW w:w="146" w:type="dxa"/>
            <w:tcBorders/>
            <w:vAlign w:val="center"/>
          </w:tcPr>
          <w:p>
            <w:pPr>
              <w:pStyle w:val="TableContents"/>
              <w:bidi w:val="0"/>
              <w:spacing w:before="0" w:after="283"/>
              <w:jc w:val="left"/>
              <w:rPr/>
            </w:pPr>
            <w:r>
              <w:rPr/>
              <w:t> </w:t>
            </w:r>
          </w:p>
        </w:tc>
        <w:tc>
          <w:tcPr>
            <w:tcW w:w="563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u w:val="single"/>
              </w:rPr>
              <w:t>Right to “opt-out</w:t>
            </w:r>
            <w:r>
              <w:rPr>
                <w:rFonts w:ascii="Times New Roman PS Std;serif" w:hAnsi="Times New Roman PS Std;serif"/>
                <w:b w:val="false"/>
                <w:i w:val="false"/>
                <w:caps w:val="false"/>
                <w:smallCaps w:val="false"/>
                <w:sz w:val="20"/>
                <w:u w:val="single"/>
              </w:rPr>
              <w:t xml:space="preserve">” </w:t>
            </w:r>
            <w:r>
              <w:rPr>
                <w:rFonts w:ascii="Times New Roman PS Std;serif" w:hAnsi="Times New Roman PS Std;serif"/>
                <w:b/>
                <w:i w:val="false"/>
                <w:caps w:val="false"/>
                <w:smallCaps w:val="false"/>
                <w:sz w:val="20"/>
                <w:u w:val="single"/>
              </w:rPr>
              <w:t>of a sale of personal information</w:t>
            </w:r>
            <w:r>
              <w:rPr>
                <w:rFonts w:ascii="Times New Roman PS Std;serif" w:hAnsi="Times New Roman PS Std;serif"/>
                <w:b w:val="false"/>
                <w:i w:val="false"/>
                <w:caps w:val="false"/>
                <w:smallCaps w:val="false"/>
                <w:sz w:val="20"/>
              </w:rPr>
              <w:t> — if our business practices change and we sell personal information you will be provided with notice and be given the opportunity to opt out of the sale of your personal information.</w:t>
            </w:r>
          </w:p>
        </w:tc>
      </w:tr>
      <w:tr>
        <w:trPr/>
        <w:tc>
          <w:tcPr>
            <w:tcW w:w="4428" w:type="dxa"/>
            <w:tcBorders/>
            <w:vAlign w:val="center"/>
          </w:tcPr>
          <w:p>
            <w:pPr>
              <w:pStyle w:val="TableContents"/>
              <w:keepNext w:val="false"/>
              <w:widowControl/>
              <w:pBdr/>
              <w:bidi w:val="0"/>
              <w:spacing w:before="160" w:after="283"/>
              <w:ind w:left="200" w:right="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u w:val="single"/>
              </w:rPr>
              <w:t>Right of data portability</w:t>
            </w:r>
            <w:r>
              <w:rPr>
                <w:rFonts w:ascii="Times New Roman PS Std;serif" w:hAnsi="Times New Roman PS Std;serif"/>
                <w:b w:val="false"/>
                <w:i w:val="false"/>
                <w:caps w:val="false"/>
                <w:smallCaps w:val="false"/>
                <w:sz w:val="20"/>
              </w:rPr>
              <w:t> — In some instances, you may have the right to receive the information about you in a portable and readily usable format. Before providing this information, we must be able to verify your identity akin to the request.</w:t>
            </w:r>
          </w:p>
        </w:tc>
        <w:tc>
          <w:tcPr>
            <w:tcW w:w="146" w:type="dxa"/>
            <w:tcBorders/>
            <w:vAlign w:val="center"/>
          </w:tcPr>
          <w:p>
            <w:pPr>
              <w:pStyle w:val="TableContents"/>
              <w:bidi w:val="0"/>
              <w:spacing w:before="0" w:after="283"/>
              <w:jc w:val="left"/>
              <w:rPr/>
            </w:pPr>
            <w:r>
              <w:rPr/>
              <w:t> </w:t>
            </w:r>
          </w:p>
        </w:tc>
        <w:tc>
          <w:tcPr>
            <w:tcW w:w="5631" w:type="dxa"/>
            <w:tcBorders/>
            <w:vAlign w:val="center"/>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u w:val="single"/>
              </w:rPr>
              <w:t>Right to have personal information erased</w:t>
            </w:r>
            <w:r>
              <w:rPr>
                <w:rFonts w:ascii="Times New Roman PS Std;serif" w:hAnsi="Times New Roman PS Std;serif"/>
                <w:b w:val="false"/>
                <w:i w:val="false"/>
                <w:caps w:val="false"/>
                <w:smallCaps w:val="false"/>
                <w:sz w:val="20"/>
              </w:rPr>
              <w:t> — Subject to certain conditions, you may be entitled to request that we delete personal information that we hold. We will not delete personal information about you when the information is required to fulfill a legal obligation, is necessary to exercise or defend legal claims, or where we are required or permitted to retain the information by law. For example, we cannot delete information about you while continuing manage your account or investment. Data solely retained for data backup purposes is principally excluded.</w:t>
            </w:r>
          </w:p>
        </w:tc>
      </w:tr>
    </w:tbl>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may also appoint an authorized agent to make a request on your behalf.</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chose to exercise any of these rights, to the extent that they apply, U.S. state law prohibits us from discriminating against you on the basis of choosing to exercise the privacy rights.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however, charge a different rate or provide a different level of service to the extent permitted by law.</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Your GDPR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the GDPR applies, data subjects of the EU/UK may have certain rights, including:</w:t>
      </w:r>
    </w:p>
    <w:tbl>
      <w:tblPr>
        <w:tblW w:w="10205" w:type="dxa"/>
        <w:jc w:val="left"/>
        <w:tblInd w:w="0" w:type="dxa"/>
        <w:tblLayout w:type="fixed"/>
        <w:tblCellMar>
          <w:top w:w="0" w:type="dxa"/>
          <w:left w:w="0" w:type="dxa"/>
          <w:bottom w:w="0" w:type="dxa"/>
          <w:right w:w="0" w:type="dxa"/>
        </w:tblCellMar>
      </w:tblPr>
      <w:tblGrid>
        <w:gridCol w:w="5285"/>
        <w:gridCol w:w="151"/>
        <w:gridCol w:w="4769"/>
      </w:tblGrid>
      <w:tr>
        <w:trPr/>
        <w:tc>
          <w:tcPr>
            <w:tcW w:w="5285" w:type="dxa"/>
            <w:tcBorders/>
            <w:vAlign w:val="center"/>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 to access your personal data</w:t>
            </w:r>
          </w:p>
        </w:tc>
        <w:tc>
          <w:tcPr>
            <w:tcW w:w="151" w:type="dxa"/>
            <w:tcBorders/>
            <w:vAlign w:val="center"/>
          </w:tcPr>
          <w:p>
            <w:pPr>
              <w:pStyle w:val="TableContents"/>
              <w:bidi w:val="0"/>
              <w:spacing w:before="0" w:after="283"/>
              <w:jc w:val="left"/>
              <w:rPr/>
            </w:pPr>
            <w:r>
              <w:rPr/>
              <w:t> </w:t>
            </w:r>
          </w:p>
        </w:tc>
        <w:tc>
          <w:tcPr>
            <w:tcW w:w="4769"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 to restrict the use of your personal data</w:t>
            </w:r>
          </w:p>
        </w:tc>
      </w:tr>
      <w:tr>
        <w:trPr/>
        <w:tc>
          <w:tcPr>
            <w:tcW w:w="5285" w:type="dxa"/>
            <w:tcBorders/>
            <w:vAlign w:val="center"/>
          </w:tcPr>
          <w:p>
            <w:pPr>
              <w:pStyle w:val="TableContents"/>
              <w:keepNext w:val="false"/>
              <w:widowControl/>
              <w:pBdr/>
              <w:bidi w:val="0"/>
              <w:spacing w:before="160" w:after="283"/>
              <w:ind w:left="200" w:right="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 to have incomplete or inaccurate data corrected</w:t>
            </w:r>
          </w:p>
        </w:tc>
        <w:tc>
          <w:tcPr>
            <w:tcW w:w="151" w:type="dxa"/>
            <w:tcBorders/>
            <w:vAlign w:val="center"/>
          </w:tcPr>
          <w:p>
            <w:pPr>
              <w:pStyle w:val="TableContents"/>
              <w:bidi w:val="0"/>
              <w:spacing w:before="0" w:after="283"/>
              <w:jc w:val="left"/>
              <w:rPr/>
            </w:pPr>
            <w:r>
              <w:rPr/>
              <w:t> </w:t>
            </w:r>
          </w:p>
        </w:tc>
        <w:tc>
          <w:tcPr>
            <w:tcW w:w="4769" w:type="dxa"/>
            <w:tcBorders/>
            <w:vAlign w:val="center"/>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 to ask us to stop processing your personal data</w:t>
            </w:r>
          </w:p>
        </w:tc>
      </w:tr>
      <w:tr>
        <w:trPr/>
        <w:tc>
          <w:tcPr>
            <w:tcW w:w="5285" w:type="dxa"/>
            <w:tcBorders/>
            <w:vAlign w:val="center"/>
          </w:tcPr>
          <w:p>
            <w:pPr>
              <w:pStyle w:val="TableContents"/>
              <w:keepNext w:val="false"/>
              <w:widowControl/>
              <w:pBdr/>
              <w:bidi w:val="0"/>
              <w:spacing w:before="160" w:after="283"/>
              <w:ind w:left="200" w:right="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 to require us to delete your personal data in some limited circumstances</w:t>
            </w:r>
          </w:p>
        </w:tc>
        <w:tc>
          <w:tcPr>
            <w:tcW w:w="151" w:type="dxa"/>
            <w:tcBorders/>
            <w:vAlign w:val="center"/>
          </w:tcPr>
          <w:p>
            <w:pPr>
              <w:pStyle w:val="TableContents"/>
              <w:bidi w:val="0"/>
              <w:spacing w:before="0" w:after="283"/>
              <w:jc w:val="left"/>
              <w:rPr/>
            </w:pPr>
            <w:r>
              <w:rPr/>
              <w:t> </w:t>
            </w:r>
          </w:p>
        </w:tc>
        <w:tc>
          <w:tcPr>
            <w:tcW w:w="4769" w:type="dxa"/>
            <w:tcBorders/>
            <w:vAlign w:val="center"/>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 to object to processing of your personal data where that processing is carried out for our legitimate interest or for direct marketing</w:t>
            </w:r>
          </w:p>
        </w:tc>
      </w:tr>
      <w:tr>
        <w:trPr/>
        <w:tc>
          <w:tcPr>
            <w:tcW w:w="5285" w:type="dxa"/>
            <w:tcBorders/>
            <w:vAlign w:val="center"/>
          </w:tcPr>
          <w:p>
            <w:pPr>
              <w:pStyle w:val="TableContents"/>
              <w:keepNext w:val="false"/>
              <w:widowControl/>
              <w:pBdr/>
              <w:bidi w:val="0"/>
              <w:spacing w:before="160" w:after="283"/>
              <w:ind w:left="200" w:right="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 in some circumstances to request for us to “port” your personal data in a portable, re-usable format to other organizations (where this is possible)</w:t>
            </w:r>
          </w:p>
        </w:tc>
        <w:tc>
          <w:tcPr>
            <w:tcW w:w="151" w:type="dxa"/>
            <w:tcBorders/>
            <w:vAlign w:val="center"/>
          </w:tcPr>
          <w:p>
            <w:pPr>
              <w:pStyle w:val="TableContents"/>
              <w:bidi w:val="0"/>
              <w:spacing w:before="0" w:after="283"/>
              <w:jc w:val="left"/>
              <w:rPr/>
            </w:pPr>
            <w:r>
              <w:rPr/>
              <w:t> </w:t>
            </w:r>
          </w:p>
        </w:tc>
        <w:tc>
          <w:tcPr>
            <w:tcW w:w="4769" w:type="dxa"/>
            <w:tcBorders/>
            <w:vAlign w:val="center"/>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 to lodge a complaint about the processing of your personal data with your local data protection authority</w:t>
            </w:r>
          </w:p>
        </w:tc>
      </w:tr>
      <w:tr>
        <w:trPr/>
        <w:tc>
          <w:tcPr>
            <w:tcW w:w="10205" w:type="dxa"/>
            <w:gridSpan w:val="3"/>
            <w:tcBorders/>
            <w:vAlign w:val="center"/>
          </w:tcPr>
          <w:p>
            <w:pPr>
              <w:pStyle w:val="TableContents"/>
              <w:keepNext w:val="false"/>
              <w:widowControl/>
              <w:pBdr/>
              <w:bidi w:val="0"/>
              <w:spacing w:before="160" w:after="283"/>
              <w:ind w:left="200" w:right="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 to request information, with respect to our practices within the 12 months prior to your request, regarding the specific personal data we have collected from you, the sources from which we obtained it, the purposes for which we collected, used and shared the personal data, and the categories of third parties with whom we have shared it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may exercise your right to make these requests/objections by contacting us at 1-203-983-5275 or sending us an email at privacy@oxfordfunds.com at any time if you wish to do so.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For a listing of EU Privacy Regulators, please click here: </w:t>
      </w:r>
      <w:r>
        <w:rPr>
          <w:rFonts w:ascii="Times New Roman PS Std;serif" w:hAnsi="Times New Roman PS Std;serif"/>
          <w:b w:val="false"/>
          <w:i/>
          <w:caps w:val="false"/>
          <w:smallCaps w:val="false"/>
          <w:sz w:val="20"/>
        </w:rPr>
        <w:t>https://edpb.europa.eu/about- edpb/board/members_en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      Submitting Requests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exercise your rights to request information or the deletion of your personal information, please contact us at 1-203-983-5275, or send us an email at privacy@oxfordfunds.com at any time if you wish to do so.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Before providing information requests in accordance with your rights, we must be able to verify your identity. In order to verify identity, you will need to submit information about yourself, including, to the extent applicable, account information, name, government identification number, date of birth, contact information, or other personal information. We will match this information against information we have previously collected about you to verify your identity and request.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Please note that under California law, we are only obligated to respond to personal information requests from the same consumer up to two times in a 12-month period. Under both EU and California law, if an individual makes unfounded, repetitive, or excessive requests (as determined in our reasonable discretion) to access Personal Data, we may charge a fee subject to a maximum set by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would like to appoint an authorized agent to make a request on your behalf, you must provide the agent with written, signed permission to submit privacy right requests on your behalf, or provide a letter from your attorney. The agent or attorney must provide this authorization at the time of request. We may require you to verify your identity with us directly before we provide any requested information to your approved agent.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collected for purposes of verifying your request will only be used for verification.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chose to exercise any of these rights, to the extent that they apply, U.S. state law prohibits us from discriminating against you on the basis of choosing to exercise your privacy rights. We may, however, charge a different rate or provide a different level of service to the extent permitted by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of course, happy to provide any further information or explanation needed.</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      Cookies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cookie is a small piece of data that a website asks your browser to store on your computer or mobile device. The cookie allows the website to “remember” your actions or preferences over time. Cookies are widely used in order to make websites work, or to work more efficiently, as well as to provide reporting information. Some cookies are strictly necessary for the functioning of our website.</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Why do we use cookies?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use cookies to learn how you interact with our content and to improve your experience when visiting our website. For example, some cookies remember your preferences and where you left off so that you do not have to repeatedly make these choices when you visit one of our websites.</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What types of cookies do we use?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Third-party cookies belong to and are managed by other parties, such as Google Analytics. These cookies may be required to render certain forms, such as email list sign-up. Session cookies are temporary cookies that are used to remember you during the course of your visit to the website, and they expire when you close the web browser. Persistent cookies are used to remember your preferences within the website and remain on your desktop or mobile device even after you close your browser or restart your computer. We use these cookies to analyze user behavior to establish visit patterns so that we can improve our website functionality for you and others who visit our website.</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How do I reject and delete cookies?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You can choose to reject or block all or specific types of cookies for FIA by changing your browser settings. Please note that most browsers automatically accept cookies. Therefore, if you do not wish cookies to be used, you may need to actively delete or block the cookies. If you reject the use of cookies, you will still be able to visit our websites but some of the functions may not work correctly. You may also visit </w:t>
      </w:r>
      <w:r>
        <w:rPr>
          <w:rFonts w:ascii="Times New Roman PS Std;serif" w:hAnsi="Times New Roman PS Std;serif"/>
          <w:b w:val="false"/>
          <w:i/>
          <w:caps w:val="false"/>
          <w:smallCaps w:val="false"/>
          <w:sz w:val="20"/>
        </w:rPr>
        <w:t>www.allaboutcookies.org</w:t>
      </w:r>
      <w:r>
        <w:rPr>
          <w:rFonts w:ascii="Times New Roman PS Std;serif" w:hAnsi="Times New Roman PS Std;serif"/>
          <w:b w:val="false"/>
          <w:i w:val="false"/>
          <w:caps w:val="false"/>
          <w:smallCaps w:val="false"/>
          <w:sz w:val="20"/>
        </w:rPr>
        <w:t xml:space="preserve"> for details on how to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delete or reject cookies and for further information on cookies generally. By using our website without deleting or rejecting some or all cookies, you agree that we can place those cookies that you have not deleted or rejected on your device.</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See also: </w:t>
      </w:r>
    </w:p>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https://tools.google.com/dlpage/gaoptout</w:t>
      </w:r>
    </w:p>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https://support.google.com/ads/answer/2662922?hl=en</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      Safeguards and Compliance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implement and maintain security appropriate to the nature of the personal information that we collect, use, retain, transfer or otherwise process, and will take reasonable steps to protect your personal information against loss or theft, as well as from unauthorized access, disclosure, copying, use or modification, regardless of the format in which it is held. While we are committed to developing, implementing, maintaining, monitoring and updating a reasonable information security program.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Unfortunately, no data transmission over the Internet or any wireless network can be guaranteed to be 100% secure. Data security incidents and breaches can occur due to vulnerabilities, criminal exploits or other factors that cannot reasonably be prevented. Accordingly, while our reasonable security program is designed to manage data security risks and thus help prevent data security incidents and breaches, it cannot be assumed that the occurrence of any given incident or breach results from our failure to implement and maintain reasonable security.</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      Do Not Track Signals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Various third parties are developing or have developed signals or other mechanisms for the expression of consumer choice regarding the collection of information about an individual consumer’s online activities over time and across third-party website or online services (e.g., browser do not track signals). Currently, we do not monitor or take any action with respect to these signals or other mechanisms.</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    Children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offer financial services and products to minors and do not knowingly collect personal information from children under the age of 16. We will delete any personal information we determine to have been collected from a child or user under the applicable age of consent. If you are a parent or guardian of a child under the relevant digital age of consent and believe he or she has disclosed personal information to us, please contact us at 1-203-983-5275 or send us an email at privacy@oxfordfunds.com.</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    Changes to this Notice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reserve the right to modify this Notice at any time and without prior notice. Updated privacy policies will be made available through our websites. We will comply with applicable data privacy laws when making changes to our privacy practices. The date at the top of this privacy policy indicates the date when the policy was last updated and the updates went into effect.</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    Questions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have any questions regarding this policy or the treatment of your non-public personal information, please contact us at 203-983-5275 or send us an email at privacy@oxfordfunds.com.</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Effective Date: </w:t>
      </w:r>
      <w:r>
        <w:rPr>
          <w:rFonts w:ascii="Times New Roman PS Std;serif" w:hAnsi="Times New Roman PS Std;serif"/>
          <w:b w:val="false"/>
          <w:i w:val="false"/>
          <w:caps w:val="false"/>
          <w:smallCaps w:val="false"/>
          <w:sz w:val="20"/>
        </w:rPr>
        <w:t>July 23, 2020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caps w:val="false"/>
          <w:smallCaps w:val="false"/>
          <w:u w:val="single"/>
        </w:rPr>
      </w:pPr>
      <w:r>
        <w:rPr>
          <w:caps w:val="false"/>
          <w:smallCaps w:val="false"/>
          <w:u w:val="single"/>
        </w:rPr>
        <w:drawing>
          <wp:inline distT="0" distB="0" distL="0" distR="0">
            <wp:extent cx="8572500" cy="7693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572500" cy="7693025"/>
                    </a:xfrm>
                    <a:prstGeom prst="rect">
                      <a:avLst/>
                    </a:prstGeom>
                  </pic:spPr>
                </pic:pic>
              </a:graphicData>
            </a:graphic>
          </wp:inline>
        </w:drawing>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color w:val="FFFFFF"/>
          <w:sz w:val="2"/>
        </w:rPr>
      </w:pPr>
      <w:r>
        <w:rPr>
          <w:rFonts w:ascii="Times New Roman PS Std;serif" w:hAnsi="Times New Roman PS Std;serif"/>
          <w:b w:val="false"/>
          <w:i w:val="false"/>
          <w:caps w:val="false"/>
          <w:smallCaps w:val="false"/>
          <w:color w:val="FFFFFF"/>
          <w:sz w:val="2"/>
        </w:rPr>
        <w:t>OXFORD SQUARE CAPITAL CORP. EVERY VOTE IS IMPORTANT PO Box 43131 Providence, RI 02940-3131 Please detach at perforation before mailing. COMMON STOCK OXFORD SQUARE CAPITAL CORP. PROXY FOR THE ANNUAL MEETING OF STOCKHOLDERS TO BE HELD ON AUGUST 20, 2026 This proxy is solicited on behalf of the Board of Directors ofOxford Square CapitalCorp. (the “Company”). The undersigned hereby constitutes and appoints Jonathan H. Cohen and Saul B. Rosenthal, and each of them, as proxies for the undersigned, with full power of substitution and resubstitution, and hereby authorizes said proxies, and each of them, to represent and vote, as designated on the reverse side, all shares of the Company held of record by the undersigned on June 30, 2026, at the Annual Meeting of Stockholders to be held on August 20, 2026, at 9:00 a.m., Eastern Time, in the second floor conference room of the Company’s corporate headquarters, located at 8 Sound Shore Drive, Greenwich, Connecticut 06830, and at any adjournments or postponements thereof. The undersigned hereby revokes any and all proxies with respect to such shares heretofore given by the undersigned. This proxy card, when properly executed, will be voted in the manner directed herein by the undersigned stockholder, and, in the discretion of such proxies, upon any and all other matters as may properly come before the meeting or any adjournments or postponements thereof. If no direction is made on the proxy card, the shares covered by the proxy card will be voted FOR the Proposals. VOTE VIA THE INTERNET: www.proxy-direct.com VOTE VIA THE TELEPHONE: 1-800-337-3503 OXF_35172_063026 PLEASE VOTE VIA INTERNET OR TELEPHONE OR MARK, SIGN, DATE ON THE REVERSE SIDE AND RETURN THIS PROXY PROMPTLY USING THE ENCLOSED ENVELOPE. xxxxxxxxxxxxxx code CALL 1-800-337-3503 Follow the recorded instructions available 24 hours MAIL Vote, Sign and Mail in the enclosed Business Reply Envelope VOTE IN PERSON Attend Stockholder Meeting 8 Sound Shore Drive, Suite 255 Second Floor Conference Room, Greenwich, CT 06830 on August 20, 2026, at 9:00 a.m. (Eastern Time) SCAN The QR code or visit www.proxy-direct.com to vote your shares</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8572500" cy="851916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572500" cy="8519160"/>
                    </a:xfrm>
                    <a:prstGeom prst="rect">
                      <a:avLst/>
                    </a:prstGeom>
                  </pic:spPr>
                </pic:pic>
              </a:graphicData>
            </a:graphic>
          </wp:inline>
        </w:drawing>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color w:val="FFFFFF"/>
          <w:sz w:val="2"/>
        </w:rPr>
      </w:pPr>
      <w:r>
        <w:rPr>
          <w:rFonts w:ascii="Times New Roman PS Std;serif" w:hAnsi="Times New Roman PS Std;serif"/>
          <w:b w:val="false"/>
          <w:i w:val="false"/>
          <w:caps w:val="false"/>
          <w:smallCaps w:val="false"/>
          <w:color w:val="FFFFFF"/>
          <w:sz w:val="2"/>
        </w:rPr>
        <w:t>FOR AGAINST ABSTAIN YOUR VOTE IS IMPORTANT Important Notice Regarding the Availability of Proxy Materials for the Annual Meeting of Stockholders to be held on August 20, 2026. The Proxy Statement, the Notice of 2026 Annual Meeting of Stockholders, the accompanying Annual Report of the Company for the fiscal year ended December 31, 2025 and the Form of Proxy Card are available at: https://www.proxy-direct.com/oxf-35172 We reserve the right to reconsider the date, time, and/or means of convening the Annual Meeting, including holding the Annual Meeting by means of remote communications. If we take this step, we will announce the decision to do so in advance, and details on how to participate in the Annual Meeting will be issued by press release and filed with the Securities and Exchange Commission as additional proxy material. We urge you to retain your control or proxy voting number after you vote in case changes are made to the Annual Meeting format and such information is again required. Please detach at perforation before mailing. TO VOTE MARK BLOCKS BELOW IN BLUE OR BLACK INK AS SHOWN IN THIS EXAMPLE: X A Proposals THE COMPANY’S BOARD OF DIRECTORS, INCLUDING ALL THE INDEPENDENT DIRECTORS, UNANIMOUSLY RECOMMENDS THAT YOU VOTE “FOR” THE PROPOSALS. 1. To elect two directors to serve until the 2029 Annual Meeting of Stockholders or until their respective successors are duly elected and qualified. FOR WITHHOLD 01. Steven P. Novak 02. Charles M. Royce 2. To ratify the selection of Ernst &amp; Young LLP to serve as the Company’s independent registered public accounting firm for the fiscal year ending December 31, 2026. 3. To transact such other business as may properly come before the Annual Meeting and any adjournments or postponements. B Authorized Signatures – This section must be completed for your vote to be counted. – Sign and Date Below Note: Please sign exactly as your name(s) appear(s) on this Proxy Card, and date it. When shares are held jointly, each stockholder should sign. When signing as attorney, executor, guardian, administrator, trustee, officer of corporation or other entity or in another representative capacity, please give the full title under the signature. Date (mm/dd/yyyy) –Please print date below Signature 1 – Please keep signature within the box Signature 2 – Please keep signature within the box Scanner bar code xxxxxxxxxxxxxx OXF 35172 xxxxxxxx / /</w:t>
      </w:r>
    </w:p>
    <w:p>
      <w:pPr>
        <w:pStyle w:val="TextBody"/>
        <w:keepNext w:val="false"/>
        <w:pageBreakBefore w:val="false"/>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40</Pages>
  <Words>20619</Words>
  <Characters>111693</Characters>
  <CharactersWithSpaces>132343</CharactersWithSpaces>
  <Paragraphs>1034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