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3"/>
        </w:trPr>
        <w:tc>
          <w:tcPr>
            <w:tcW w:w="2560" w:type="dxa"/>
            <w:vAlign w:val="bottom"/>
            <w:gridSpan w:val="4"/>
          </w:tcPr>
          <w:p>
            <w:pPr>
              <w:spacing w:after="0"/>
              <w:rPr>
                <w:sz w:val="20"/>
                <w:szCs w:val="20"/>
                <w:color w:val="auto"/>
              </w:rPr>
            </w:pPr>
            <w:r>
              <w:rPr>
                <w:rFonts w:ascii="Arial" w:cs="Arial" w:eastAsia="Arial" w:hAnsi="Arial"/>
                <w:sz w:val="20"/>
                <w:szCs w:val="20"/>
                <w:color w:val="auto"/>
              </w:rPr>
              <w:t>SEC Form 4</w:t>
            </w: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40" w:type="dxa"/>
            <w:vAlign w:val="bottom"/>
            <w:gridSpan w:val="2"/>
          </w:tcPr>
          <w:p>
            <w:pPr>
              <w:ind w:left="640"/>
              <w:spacing w:after="0"/>
              <w:rPr>
                <w:sz w:val="20"/>
                <w:szCs w:val="20"/>
                <w:color w:val="auto"/>
              </w:rPr>
            </w:pPr>
            <w:r>
              <w:rPr>
                <w:rFonts w:ascii="Arial" w:cs="Arial" w:eastAsia="Arial" w:hAnsi="Arial"/>
                <w:sz w:val="22"/>
                <w:szCs w:val="22"/>
                <w:b w:val="1"/>
                <w:bCs w:val="1"/>
                <w:color w:val="auto"/>
              </w:rPr>
              <w:t>FORM 4</w:t>
            </w:r>
          </w:p>
        </w:tc>
        <w:tc>
          <w:tcPr>
            <w:tcW w:w="6380" w:type="dxa"/>
            <w:vAlign w:val="bottom"/>
            <w:gridSpan w:val="7"/>
          </w:tcPr>
          <w:p>
            <w:pPr>
              <w:jc w:val="center"/>
              <w:ind w:right="340"/>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1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80" w:type="dxa"/>
            <w:vAlign w:val="bottom"/>
            <w:gridSpan w:val="2"/>
            <w:vMerge w:val="restart"/>
          </w:tcPr>
          <w:p>
            <w:pPr>
              <w:jc w:val="center"/>
              <w:ind w:right="420"/>
              <w:spacing w:after="0" w:line="136" w:lineRule="exact"/>
              <w:rPr>
                <w:sz w:val="20"/>
                <w:szCs w:val="20"/>
                <w:color w:val="auto"/>
              </w:rPr>
            </w:pPr>
            <w:r>
              <w:rPr>
                <w:rFonts w:ascii="Arial" w:cs="Arial" w:eastAsia="Arial" w:hAnsi="Arial"/>
                <w:sz w:val="12"/>
                <w:szCs w:val="12"/>
                <w:color w:val="auto"/>
              </w:rPr>
              <w:t>Washington, D.C. 20549</w:t>
            </w:r>
          </w:p>
        </w:tc>
        <w:tc>
          <w:tcPr>
            <w:tcW w:w="1180" w:type="dxa"/>
            <w:vAlign w:val="bottom"/>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40" w:type="dxa"/>
            <w:vAlign w:val="bottom"/>
            <w:tcBorders>
              <w:top w:val="single" w:sz="8" w:color="808080"/>
              <w:bottom w:val="single" w:sz="8" w:color="2C2C2C"/>
            </w:tcBorders>
          </w:tcPr>
          <w:p>
            <w:pPr>
              <w:spacing w:after="0"/>
              <w:rPr>
                <w:sz w:val="2"/>
                <w:szCs w:val="2"/>
                <w:color w:val="auto"/>
              </w:rPr>
            </w:pPr>
          </w:p>
        </w:tc>
        <w:tc>
          <w:tcPr>
            <w:tcW w:w="1340" w:type="dxa"/>
            <w:vAlign w:val="bottom"/>
            <w:tcBorders>
              <w:top w:val="single" w:sz="8" w:color="808080"/>
              <w:bottom w:val="single" w:sz="8" w:color="2C2C2C"/>
            </w:tcBorders>
          </w:tcPr>
          <w:p>
            <w:pPr>
              <w:spacing w:after="0"/>
              <w:rPr>
                <w:sz w:val="2"/>
                <w:szCs w:val="2"/>
                <w:color w:val="auto"/>
              </w:rPr>
            </w:pPr>
          </w:p>
        </w:tc>
        <w:tc>
          <w:tcPr>
            <w:tcW w:w="620" w:type="dxa"/>
            <w:vAlign w:val="bottom"/>
            <w:tcBorders>
              <w:top w:val="single" w:sz="8" w:color="808080"/>
              <w:bottom w:val="single" w:sz="8" w:color="2C2C2C"/>
            </w:tcBorders>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960" w:type="dxa"/>
            <w:vAlign w:val="bottom"/>
            <w:gridSpan w:val="2"/>
            <w:vMerge w:val="restart"/>
          </w:tcPr>
          <w:p>
            <w:pPr>
              <w:ind w:left="320"/>
              <w:spacing w:after="0"/>
              <w:rPr>
                <w:sz w:val="20"/>
                <w:szCs w:val="20"/>
                <w:color w:val="auto"/>
              </w:rPr>
            </w:pPr>
            <w:r>
              <w:rPr>
                <w:rFonts w:ascii="Arial" w:cs="Arial" w:eastAsia="Arial" w:hAnsi="Arial"/>
                <w:sz w:val="16"/>
                <w:szCs w:val="16"/>
                <w:color w:val="auto"/>
              </w:rPr>
              <w:t>OMB APPROVAL</w:t>
            </w:r>
          </w:p>
        </w:tc>
        <w:tc>
          <w:tcPr>
            <w:tcW w:w="4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gridSpan w:val="2"/>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vMerge w:val="restart"/>
          </w:tcPr>
          <w:p>
            <w:pPr>
              <w:ind w:left="220"/>
              <w:spacing w:after="0"/>
              <w:rPr>
                <w:sz w:val="20"/>
                <w:szCs w:val="20"/>
                <w:color w:val="auto"/>
              </w:rPr>
            </w:pPr>
            <w:r>
              <w:rPr>
                <w:rFonts w:ascii="Arial" w:cs="Arial" w:eastAsia="Arial" w:hAnsi="Arial"/>
                <w:sz w:val="11"/>
                <w:szCs w:val="11"/>
                <w:color w:val="auto"/>
              </w:rPr>
              <w:t>Check this box if no longer subject to</w:t>
            </w: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6380" w:type="dxa"/>
            <w:vAlign w:val="bottom"/>
            <w:gridSpan w:val="7"/>
          </w:tcPr>
          <w:p>
            <w:pPr>
              <w:jc w:val="center"/>
              <w:ind w:right="340"/>
              <w:spacing w:after="0" w:line="141" w:lineRule="exact"/>
              <w:rPr>
                <w:sz w:val="20"/>
                <w:szCs w:val="20"/>
                <w:color w:val="auto"/>
              </w:rPr>
            </w:pPr>
            <w:r>
              <w:rPr>
                <w:rFonts w:ascii="Arial" w:cs="Arial" w:eastAsia="Arial" w:hAnsi="Arial"/>
                <w:sz w:val="15"/>
                <w:szCs w:val="15"/>
                <w:b w:val="1"/>
                <w:bCs w:val="1"/>
                <w:color w:val="auto"/>
              </w:rPr>
              <w:t>STATEMENT OF CHANGES IN BENEFICIAL OWNERSHIP</w:t>
            </w:r>
          </w:p>
        </w:tc>
        <w:tc>
          <w:tcPr>
            <w:tcW w:w="1340" w:type="dxa"/>
            <w:vAlign w:val="bottom"/>
            <w:vMerge w:val="restart"/>
          </w:tcPr>
          <w:p>
            <w:pPr>
              <w:ind w:left="2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2"/>
          </w:tcPr>
          <w:p>
            <w:pPr>
              <w:ind w:left="220"/>
              <w:spacing w:after="0"/>
              <w:rPr>
                <w:sz w:val="20"/>
                <w:szCs w:val="20"/>
                <w:color w:val="auto"/>
              </w:rPr>
            </w:pPr>
            <w:r>
              <w:rPr>
                <w:rFonts w:ascii="Arial" w:cs="Arial" w:eastAsia="Arial" w:hAnsi="Arial"/>
                <w:sz w:val="11"/>
                <w:szCs w:val="11"/>
                <w:color w:val="auto"/>
              </w:rPr>
              <w:t>Section 16. Form 4 or Form 5</w:t>
            </w: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gridSpan w:val="2"/>
          </w:tcPr>
          <w:p>
            <w:pPr>
              <w:ind w:left="22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5120" w:type="dxa"/>
            <w:vAlign w:val="bottom"/>
            <w:gridSpan w:val="4"/>
            <w:vMerge w:val="restart"/>
          </w:tcPr>
          <w:p>
            <w:pPr>
              <w:jc w:val="center"/>
              <w:ind w:left="84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ind w:left="2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440" w:type="dxa"/>
            <w:vAlign w:val="bottom"/>
            <w:gridSpan w:val="2"/>
            <w:vMerge w:val="restart"/>
          </w:tcPr>
          <w:p>
            <w:pPr>
              <w:ind w:left="220"/>
              <w:spacing w:after="0" w:line="90" w:lineRule="exact"/>
              <w:rPr>
                <w:sz w:val="20"/>
                <w:szCs w:val="20"/>
                <w:color w:val="auto"/>
              </w:rPr>
            </w:pPr>
            <w:r>
              <w:rPr>
                <w:rFonts w:ascii="Arial" w:cs="Arial" w:eastAsia="Arial" w:hAnsi="Arial"/>
                <w:sz w:val="10"/>
                <w:szCs w:val="10"/>
                <w:color w:val="auto"/>
              </w:rPr>
              <w:t>Instruction 1(b).</w:t>
            </w:r>
          </w:p>
        </w:tc>
        <w:tc>
          <w:tcPr>
            <w:tcW w:w="512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3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40" w:type="dxa"/>
            <w:vAlign w:val="bottom"/>
            <w:gridSpan w:val="2"/>
            <w:vMerge w:val="continue"/>
          </w:tcPr>
          <w:p>
            <w:pPr>
              <w:spacing w:after="0" w:line="20" w:lineRule="exact"/>
              <w:rPr>
                <w:sz w:val="1"/>
                <w:szCs w:val="1"/>
                <w:color w:val="auto"/>
              </w:rPr>
            </w:pPr>
          </w:p>
        </w:tc>
        <w:tc>
          <w:tcPr>
            <w:tcW w:w="512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80" w:type="dxa"/>
            <w:vAlign w:val="bottom"/>
            <w:gridSpan w:val="2"/>
          </w:tcPr>
          <w:p>
            <w:pPr>
              <w:jc w:val="center"/>
              <w:ind w:right="420"/>
              <w:spacing w:after="0"/>
              <w:rPr>
                <w:sz w:val="20"/>
                <w:szCs w:val="20"/>
                <w:color w:val="auto"/>
              </w:rPr>
            </w:pPr>
            <w:r>
              <w:rPr>
                <w:rFonts w:ascii="Arial" w:cs="Arial" w:eastAsia="Arial" w:hAnsi="Arial"/>
                <w:sz w:val="12"/>
                <w:szCs w:val="12"/>
                <w:color w:val="auto"/>
              </w:rPr>
              <w:t>or Section 30(h) of the Investment Company Act of 1940</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3260" w:type="dxa"/>
            <w:vAlign w:val="bottom"/>
            <w:tcBorders>
              <w:bottom w:val="single" w:sz="8" w:color="2C2C2C"/>
            </w:tcBorders>
            <w:gridSpan w:val="6"/>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40" w:type="dxa"/>
            <w:vAlign w:val="bottom"/>
            <w:gridSpan w:val="3"/>
          </w:tcPr>
          <w:p>
            <w:pPr>
              <w:ind w:left="60"/>
              <w:spacing w:after="0" w:line="19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80" w:type="dxa"/>
            <w:vAlign w:val="bottom"/>
          </w:tcPr>
          <w:p>
            <w:pPr>
              <w:spacing w:after="0"/>
              <w:rPr>
                <w:sz w:val="17"/>
                <w:szCs w:val="17"/>
                <w:color w:val="auto"/>
              </w:rPr>
            </w:pPr>
          </w:p>
        </w:tc>
        <w:tc>
          <w:tcPr>
            <w:tcW w:w="384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6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540" w:type="dxa"/>
            <w:vAlign w:val="bottom"/>
            <w:gridSpan w:val="3"/>
            <w:vMerge w:val="restart"/>
          </w:tcPr>
          <w:p>
            <w:pPr>
              <w:ind w:left="100"/>
              <w:spacing w:after="0"/>
              <w:rPr>
                <w:rFonts w:ascii="Arial" w:cs="Arial" w:eastAsia="Arial" w:hAnsi="Arial"/>
                <w:sz w:val="20"/>
                <w:szCs w:val="20"/>
                <w:color w:val="0000EE"/>
              </w:rPr>
            </w:pPr>
            <w:hyperlink r:id="rId8">
              <w:r>
                <w:rPr>
                  <w:rFonts w:ascii="Arial" w:cs="Arial" w:eastAsia="Arial" w:hAnsi="Arial"/>
                  <w:sz w:val="20"/>
                  <w:szCs w:val="20"/>
                  <w:color w:val="0000EE"/>
                </w:rPr>
                <w:t>ROYCE CHARLES M</w:t>
              </w:r>
            </w:hyperlink>
          </w:p>
        </w:tc>
        <w:tc>
          <w:tcPr>
            <w:tcW w:w="1280" w:type="dxa"/>
            <w:vAlign w:val="bottom"/>
          </w:tcPr>
          <w:p>
            <w:pPr>
              <w:spacing w:after="0"/>
              <w:rPr>
                <w:sz w:val="8"/>
                <w:szCs w:val="8"/>
                <w:color w:val="auto"/>
              </w:rPr>
            </w:pPr>
          </w:p>
        </w:tc>
        <w:tc>
          <w:tcPr>
            <w:tcW w:w="3840" w:type="dxa"/>
            <w:vAlign w:val="bottom"/>
            <w:gridSpan w:val="3"/>
          </w:tcPr>
          <w:p>
            <w:pPr>
              <w:ind w:left="60"/>
              <w:spacing w:after="0" w:line="100" w:lineRule="exact"/>
              <w:rPr>
                <w:rFonts w:ascii="Arial" w:cs="Arial" w:eastAsia="Arial" w:hAnsi="Arial"/>
                <w:sz w:val="11"/>
                <w:szCs w:val="11"/>
                <w:color w:val="0000EE"/>
              </w:rPr>
            </w:pPr>
            <w:hyperlink r:id="rId9">
              <w:r>
                <w:rPr>
                  <w:rFonts w:ascii="Arial" w:cs="Arial" w:eastAsia="Arial" w:hAnsi="Arial"/>
                  <w:sz w:val="11"/>
                  <w:szCs w:val="11"/>
                  <w:color w:val="0000EE"/>
                </w:rPr>
                <w:t xml:space="preserve">Oxford Square Capital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OXSQ</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26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1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gridSpan w:val="3"/>
            <w:vMerge w:val="continu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Borders>
              <w:bottom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gridSpan w:val="3"/>
            <w:vMerge w:val="restart"/>
          </w:tcPr>
          <w:p>
            <w:pPr>
              <w:ind w:left="260"/>
              <w:spacing w:after="0" w:line="138"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2000" w:type="dxa"/>
            <w:vAlign w:val="bottom"/>
            <w:gridSpan w:val="3"/>
            <w:vMerge w:val="restart"/>
          </w:tcPr>
          <w:p>
            <w:pPr>
              <w:ind w:left="880"/>
              <w:spacing w:after="0"/>
              <w:rPr>
                <w:sz w:val="20"/>
                <w:szCs w:val="20"/>
                <w:color w:val="auto"/>
              </w:rPr>
            </w:pPr>
            <w:r>
              <w:rPr>
                <w:rFonts w:ascii="Arial" w:cs="Arial" w:eastAsia="Arial" w:hAnsi="Arial"/>
                <w:sz w:val="12"/>
                <w:szCs w:val="12"/>
                <w:color w:val="auto"/>
              </w:rPr>
              <w:t>10% Owner</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200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200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-1085850</wp:posOffset>
            </wp:positionV>
            <wp:extent cx="7049135" cy="6911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9135" cy="6911340"/>
                    </a:xfrm>
                    <a:prstGeom prst="rect">
                      <a:avLst/>
                    </a:prstGeom>
                    <a:noFill/>
                  </pic:spPr>
                </pic:pic>
              </a:graphicData>
            </a:graphic>
          </wp:anchor>
        </w:drawing>
      </w:r>
    </w:p>
    <w:p>
      <w:pPr>
        <w:sectPr>
          <w:pgSz w:w="11900" w:h="16838" w:orient="portrait"/>
          <w:cols w:equalWidth="0" w:num="1">
            <w:col w:w="11080"/>
          </w:cols>
          <w:pgMar w:left="460" w:top="220" w:right="359" w:bottom="1440" w:gutter="0" w:footer="0" w:header="0"/>
        </w:sectPr>
      </w:pPr>
    </w:p>
    <w:p>
      <w:pPr>
        <w:spacing w:after="0" w:line="240"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5"/>
          <w:szCs w:val="15"/>
          <w:color w:val="0000FF"/>
        </w:rPr>
        <w:t>C/O OXFORD SQUARE CAPITAL CORP.</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8 SOUND SHORE DRIVE, SUITE 255</w:t>
      </w: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157"/>
        </w:trPr>
        <w:tc>
          <w:tcPr>
            <w:tcW w:w="1980" w:type="dxa"/>
            <w:vAlign w:val="bottom"/>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13"/>
                <w:szCs w:val="13"/>
                <w:color w:val="auto"/>
              </w:rPr>
            </w:pPr>
          </w:p>
        </w:tc>
      </w:tr>
      <w:tr>
        <w:trPr>
          <w:trHeight w:val="223"/>
        </w:trPr>
        <w:tc>
          <w:tcPr>
            <w:tcW w:w="1980" w:type="dxa"/>
            <w:vAlign w:val="bottom"/>
          </w:tcPr>
          <w:p>
            <w:pPr>
              <w:ind w:left="40"/>
              <w:spacing w:after="0"/>
              <w:rPr>
                <w:sz w:val="20"/>
                <w:szCs w:val="20"/>
                <w:color w:val="auto"/>
              </w:rPr>
            </w:pPr>
            <w:r>
              <w:rPr>
                <w:rFonts w:ascii="Arial" w:cs="Arial" w:eastAsia="Arial" w:hAnsi="Arial"/>
                <w:sz w:val="16"/>
                <w:szCs w:val="16"/>
                <w:color w:val="0000FF"/>
              </w:rPr>
              <w:t>GREENWICH   CT</w:t>
            </w:r>
          </w:p>
        </w:tc>
        <w:tc>
          <w:tcPr>
            <w:tcW w:w="920" w:type="dxa"/>
            <w:vAlign w:val="bottom"/>
          </w:tcPr>
          <w:p>
            <w:pPr>
              <w:jc w:val="right"/>
              <w:spacing w:after="0"/>
              <w:rPr>
                <w:sz w:val="20"/>
                <w:szCs w:val="20"/>
                <w:color w:val="auto"/>
              </w:rPr>
            </w:pPr>
            <w:r>
              <w:rPr>
                <w:rFonts w:ascii="Arial" w:cs="Arial" w:eastAsia="Arial" w:hAnsi="Arial"/>
                <w:sz w:val="16"/>
                <w:szCs w:val="16"/>
                <w:color w:val="0000FF"/>
              </w:rPr>
              <w:t>06830</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180" w:type="dxa"/>
            <w:vAlign w:val="bottom"/>
          </w:tcPr>
          <w:p>
            <w:pPr>
              <w:ind w:left="60"/>
              <w:spacing w:after="0"/>
              <w:rPr>
                <w:sz w:val="20"/>
                <w:szCs w:val="20"/>
                <w:color w:val="auto"/>
              </w:rPr>
            </w:pPr>
            <w:r>
              <w:rPr>
                <w:rFonts w:ascii="Arial" w:cs="Arial" w:eastAsia="Arial" w:hAnsi="Arial"/>
                <w:sz w:val="12"/>
                <w:szCs w:val="12"/>
                <w:color w:val="auto"/>
                <w:w w:val="99"/>
              </w:rPr>
              <w:t>3.</w:t>
            </w:r>
          </w:p>
        </w:tc>
        <w:tc>
          <w:tcPr>
            <w:tcW w:w="3380" w:type="dxa"/>
            <w:vAlign w:val="bottom"/>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2100" w:type="dxa"/>
            <w:vAlign w:val="bottom"/>
          </w:tcPr>
          <w:p>
            <w:pPr>
              <w:ind w:left="86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20"/>
              <w:spacing w:after="0"/>
              <w:rPr>
                <w:sz w:val="20"/>
                <w:szCs w:val="20"/>
                <w:color w:val="auto"/>
              </w:rPr>
            </w:pPr>
            <w:r>
              <w:rPr>
                <w:rFonts w:ascii="Arial" w:cs="Arial" w:eastAsia="Arial" w:hAnsi="Arial"/>
                <w:sz w:val="12"/>
                <w:szCs w:val="12"/>
                <w:color w:val="auto"/>
              </w:rPr>
              <w:t>Other (specify</w:t>
            </w:r>
          </w:p>
        </w:tc>
      </w:tr>
      <w:tr>
        <w:trPr>
          <w:trHeight w:val="206"/>
        </w:trPr>
        <w:tc>
          <w:tcPr>
            <w:tcW w:w="3560" w:type="dxa"/>
            <w:vAlign w:val="bottom"/>
            <w:gridSpan w:val="2"/>
          </w:tcPr>
          <w:p>
            <w:pPr>
              <w:ind w:left="60"/>
              <w:spacing w:after="0"/>
              <w:rPr>
                <w:sz w:val="20"/>
                <w:szCs w:val="20"/>
                <w:color w:val="auto"/>
              </w:rPr>
            </w:pPr>
            <w:r>
              <w:rPr>
                <w:rFonts w:ascii="Arial" w:cs="Arial" w:eastAsia="Arial" w:hAnsi="Arial"/>
                <w:sz w:val="16"/>
                <w:szCs w:val="16"/>
                <w:color w:val="0000FF"/>
              </w:rPr>
              <w:t>06/14/2023</w:t>
            </w:r>
          </w:p>
        </w:tc>
        <w:tc>
          <w:tcPr>
            <w:tcW w:w="2100" w:type="dxa"/>
            <w:vAlign w:val="bottom"/>
          </w:tcPr>
          <w:p>
            <w:pPr>
              <w:ind w:left="860"/>
              <w:spacing w:after="0"/>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rPr>
                <w:sz w:val="20"/>
                <w:szCs w:val="20"/>
                <w:color w:val="auto"/>
              </w:rPr>
            </w:pPr>
            <w:r>
              <w:rPr>
                <w:rFonts w:ascii="Arial" w:cs="Arial" w:eastAsia="Arial" w:hAnsi="Arial"/>
                <w:sz w:val="12"/>
                <w:szCs w:val="12"/>
                <w:color w:val="auto"/>
              </w:rPr>
              <w:t>below)</w:t>
            </w:r>
          </w:p>
        </w:tc>
      </w:tr>
      <w:tr>
        <w:trPr>
          <w:trHeight w:val="97"/>
        </w:trPr>
        <w:tc>
          <w:tcPr>
            <w:tcW w:w="180" w:type="dxa"/>
            <w:vAlign w:val="bottom"/>
            <w:tcBorders>
              <w:bottom w:val="single" w:sz="8" w:color="2C2C2C"/>
            </w:tcBorders>
          </w:tcPr>
          <w:p>
            <w:pPr>
              <w:spacing w:after="0"/>
              <w:rPr>
                <w:sz w:val="8"/>
                <w:szCs w:val="8"/>
                <w:color w:val="auto"/>
              </w:rPr>
            </w:pPr>
          </w:p>
        </w:tc>
        <w:tc>
          <w:tcPr>
            <w:tcW w:w="338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gridSpan w:val="2"/>
          </w:tcPr>
          <w:p>
            <w:pPr>
              <w:spacing w:after="0"/>
              <w:rPr>
                <w:sz w:val="8"/>
                <w:szCs w:val="8"/>
                <w:color w:val="auto"/>
              </w:rPr>
            </w:pPr>
          </w:p>
        </w:tc>
      </w:tr>
      <w:tr>
        <w:trPr>
          <w:trHeight w:val="198"/>
        </w:trPr>
        <w:tc>
          <w:tcPr>
            <w:tcW w:w="180" w:type="dxa"/>
            <w:vAlign w:val="bottom"/>
          </w:tcPr>
          <w:p>
            <w:pPr>
              <w:ind w:left="60"/>
              <w:spacing w:after="0"/>
              <w:rPr>
                <w:sz w:val="20"/>
                <w:szCs w:val="20"/>
                <w:color w:val="auto"/>
              </w:rPr>
            </w:pPr>
            <w:r>
              <w:rPr>
                <w:rFonts w:ascii="Arial" w:cs="Arial" w:eastAsia="Arial" w:hAnsi="Arial"/>
                <w:sz w:val="12"/>
                <w:szCs w:val="12"/>
                <w:color w:val="auto"/>
                <w:w w:val="99"/>
              </w:rPr>
              <w:t>4.</w:t>
            </w:r>
          </w:p>
        </w:tc>
        <w:tc>
          <w:tcPr>
            <w:tcW w:w="3380" w:type="dxa"/>
            <w:vAlign w:val="bottom"/>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560" w:type="dxa"/>
            <w:vAlign w:val="bottom"/>
            <w:gridSpan w:val="2"/>
          </w:tcPr>
          <w:p>
            <w:pPr>
              <w:ind w:left="340"/>
              <w:spacing w:after="0"/>
              <w:rPr>
                <w:sz w:val="20"/>
                <w:szCs w:val="20"/>
                <w:color w:val="auto"/>
              </w:rPr>
            </w:pPr>
            <w:r>
              <w:rPr>
                <w:rFonts w:ascii="Arial" w:cs="Arial" w:eastAsia="Arial" w:hAnsi="Arial"/>
                <w:sz w:val="12"/>
                <w:szCs w:val="12"/>
                <w:color w:val="auto"/>
              </w:rPr>
              <w:t>6. Individual or Joint/Group Filing (Check Applicable Line)</w:t>
            </w:r>
          </w:p>
        </w:tc>
      </w:tr>
      <w:tr>
        <w:trPr>
          <w:trHeight w:val="223"/>
        </w:trPr>
        <w:tc>
          <w:tcPr>
            <w:tcW w:w="1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560" w:type="dxa"/>
            <w:vAlign w:val="bottom"/>
            <w:gridSpan w:val="2"/>
          </w:tcPr>
          <w:p>
            <w:pPr>
              <w:ind w:left="5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r>
      <w:tr>
        <w:trPr>
          <w:trHeight w:val="199"/>
        </w:trPr>
        <w:tc>
          <w:tcPr>
            <w:tcW w:w="1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560" w:type="dxa"/>
            <w:vAlign w:val="bottom"/>
            <w:gridSpan w:val="2"/>
          </w:tcPr>
          <w:p>
            <w:pPr>
              <w:ind w:left="86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31" w:lineRule="exact"/>
        <w:rPr>
          <w:sz w:val="20"/>
          <w:szCs w:val="20"/>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168" w:lineRule="exact"/>
        <w:rPr>
          <w:sz w:val="20"/>
          <w:szCs w:val="20"/>
          <w:color w:val="auto"/>
        </w:rPr>
      </w:pPr>
    </w:p>
    <w:p>
      <w:pPr>
        <w:sectPr>
          <w:pgSz w:w="11900" w:h="16838" w:orient="portrait"/>
          <w:cols w:equalWidth="0" w:num="2">
            <w:col w:w="3120" w:space="720"/>
            <w:col w:w="7240"/>
          </w:cols>
          <w:pgMar w:left="460" w:top="220" w:right="359" w:bottom="1440" w:gutter="0" w:footer="0" w:header="0"/>
          <w:type w:val="continuous"/>
        </w:sectPr>
      </w:pPr>
    </w:p>
    <w:tbl>
      <w:tblPr>
        <w:tblLayout w:type="fixed"/>
        <w:tblInd w:w="100" w:type="dxa"/>
        <w:tblCellMar>
          <w:top w:w="0" w:type="dxa"/>
          <w:left w:w="0" w:type="dxa"/>
          <w:bottom w:w="0" w:type="dxa"/>
          <w:right w:w="0" w:type="dxa"/>
        </w:tblCellMar>
      </w:tblPr>
      <w:tr>
        <w:trPr>
          <w:trHeight w:val="139"/>
        </w:trPr>
        <w:tc>
          <w:tcPr>
            <w:tcW w:w="780" w:type="dxa"/>
            <w:vAlign w:val="bottom"/>
            <w:tcBorders>
              <w:top w:val="single" w:sz="8" w:color="9A9A9A"/>
            </w:tcBorders>
          </w:tcPr>
          <w:p>
            <w:pPr>
              <w:spacing w:after="0"/>
              <w:rPr>
                <w:sz w:val="12"/>
                <w:szCs w:val="12"/>
                <w:color w:val="auto"/>
              </w:rPr>
            </w:pPr>
          </w:p>
        </w:tc>
        <w:tc>
          <w:tcPr>
            <w:tcW w:w="1260" w:type="dxa"/>
            <w:vAlign w:val="bottom"/>
            <w:tcBorders>
              <w:top w:val="single" w:sz="8" w:color="9A9A9A"/>
            </w:tcBorders>
          </w:tcPr>
          <w:p>
            <w:pPr>
              <w:spacing w:after="0"/>
              <w:rPr>
                <w:sz w:val="12"/>
                <w:szCs w:val="12"/>
                <w:color w:val="auto"/>
              </w:rPr>
            </w:pPr>
          </w:p>
        </w:tc>
        <w:tc>
          <w:tcPr>
            <w:tcW w:w="1620" w:type="dxa"/>
            <w:vAlign w:val="bottom"/>
            <w:tcBorders>
              <w:top w:val="single" w:sz="8" w:color="9A9A9A"/>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 w:type="dxa"/>
            <w:vAlign w:val="bottom"/>
            <w:tcBorders>
              <w:top w:val="single" w:sz="8" w:color="auto"/>
              <w:right w:val="single" w:sz="8" w:color="auto"/>
            </w:tcBorders>
          </w:tcPr>
          <w:p>
            <w:pPr>
              <w:spacing w:after="0"/>
              <w:rPr>
                <w:sz w:val="12"/>
                <w:szCs w:val="12"/>
                <w:color w:val="auto"/>
              </w:rPr>
            </w:pPr>
          </w:p>
        </w:tc>
        <w:tc>
          <w:tcPr>
            <w:tcW w:w="6660" w:type="dxa"/>
            <w:vAlign w:val="bottom"/>
          </w:tcPr>
          <w:p>
            <w:pPr>
              <w:ind w:left="10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w:t>
            </w:r>
          </w:p>
        </w:tc>
      </w:tr>
      <w:tr>
        <w:trPr>
          <w:trHeight w:val="118"/>
        </w:trPr>
        <w:tc>
          <w:tcPr>
            <w:tcW w:w="780" w:type="dxa"/>
            <w:vAlign w:val="bottom"/>
          </w:tcPr>
          <w:p>
            <w:pPr>
              <w:ind w:left="20"/>
              <w:spacing w:after="0" w:line="118" w:lineRule="exact"/>
              <w:rPr>
                <w:sz w:val="20"/>
                <w:szCs w:val="20"/>
                <w:color w:val="auto"/>
              </w:rPr>
            </w:pPr>
            <w:r>
              <w:rPr>
                <w:rFonts w:ascii="Arial" w:cs="Arial" w:eastAsia="Arial" w:hAnsi="Arial"/>
                <w:sz w:val="12"/>
                <w:szCs w:val="12"/>
                <w:color w:val="auto"/>
              </w:rPr>
              <w:t>(City)</w:t>
            </w:r>
          </w:p>
        </w:tc>
        <w:tc>
          <w:tcPr>
            <w:tcW w:w="1260" w:type="dxa"/>
            <w:vAlign w:val="bottom"/>
          </w:tcPr>
          <w:p>
            <w:pPr>
              <w:ind w:left="460"/>
              <w:spacing w:after="0" w:line="118" w:lineRule="exact"/>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line="118" w:lineRule="exact"/>
              <w:rPr>
                <w:sz w:val="20"/>
                <w:szCs w:val="20"/>
                <w:color w:val="auto"/>
              </w:rPr>
            </w:pPr>
            <w:r>
              <w:rPr>
                <w:rFonts w:ascii="Arial" w:cs="Arial" w:eastAsia="Arial" w:hAnsi="Arial"/>
                <w:sz w:val="12"/>
                <w:szCs w:val="12"/>
                <w:color w:val="auto"/>
              </w:rPr>
              <w:t>(Zip)</w:t>
            </w:r>
          </w:p>
        </w:tc>
        <w:tc>
          <w:tcPr>
            <w:tcW w:w="18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6660" w:type="dxa"/>
            <w:vAlign w:val="bottom"/>
          </w:tcPr>
          <w:p>
            <w:pPr>
              <w:ind w:left="100"/>
              <w:spacing w:after="0" w:line="118" w:lineRule="exact"/>
              <w:rPr>
                <w:sz w:val="20"/>
                <w:szCs w:val="20"/>
                <w:color w:val="auto"/>
              </w:rPr>
            </w:pPr>
            <w:r>
              <w:rPr>
                <w:rFonts w:ascii="Arial" w:cs="Arial" w:eastAsia="Arial" w:hAnsi="Arial"/>
                <w:sz w:val="11"/>
                <w:szCs w:val="11"/>
                <w:color w:val="auto"/>
              </w:rPr>
              <w:t>affirmative defense conditions of Rule 10b5-1(c). See Instruction 10.</w:t>
            </w:r>
          </w:p>
        </w:tc>
      </w:tr>
    </w:tbl>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40" w:type="dxa"/>
            <w:vAlign w:val="bottom"/>
            <w:gridSpan w:val="3"/>
          </w:tcPr>
          <w:p>
            <w:pPr>
              <w:ind w:left="70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gridSpan w:val="2"/>
          </w:tcPr>
          <w:p>
            <w:pPr>
              <w:ind w:left="700"/>
              <w:spacing w:after="0" w:line="121"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960" w:type="dxa"/>
            <w:vAlign w:val="bottom"/>
          </w:tcPr>
          <w:p>
            <w:pPr>
              <w:spacing w:after="0" w:line="121"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line="121" w:lineRule="exact"/>
              <w:rPr>
                <w:sz w:val="20"/>
                <w:szCs w:val="20"/>
                <w:color w:val="auto"/>
              </w:rPr>
            </w:pPr>
            <w:r>
              <w:rPr>
                <w:rFonts w:ascii="Arial" w:cs="Arial" w:eastAsia="Arial" w:hAnsi="Arial"/>
                <w:sz w:val="11"/>
                <w:szCs w:val="11"/>
                <w:b w:val="1"/>
                <w:bCs w:val="1"/>
                <w:color w:val="auto"/>
              </w:rPr>
              <w:t>Form: Direct</w:t>
            </w:r>
          </w:p>
        </w:tc>
        <w:tc>
          <w:tcPr>
            <w:tcW w:w="1040" w:type="dxa"/>
            <w:vAlign w:val="bottom"/>
            <w:gridSpan w:val="4"/>
          </w:tcPr>
          <w:p>
            <w:pPr>
              <w:ind w:left="4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40" w:type="dxa"/>
            <w:vAlign w:val="bottom"/>
            <w:gridSpan w:val="3"/>
          </w:tcPr>
          <w:p>
            <w:pPr>
              <w:ind w:left="700"/>
              <w:spacing w:after="0" w:line="124"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20"/>
              <w:spacing w:after="0" w:line="124" w:lineRule="exact"/>
              <w:rPr>
                <w:sz w:val="20"/>
                <w:szCs w:val="20"/>
                <w:color w:val="auto"/>
              </w:rPr>
            </w:pPr>
            <w:r>
              <w:rPr>
                <w:rFonts w:ascii="Arial" w:cs="Arial" w:eastAsia="Arial" w:hAnsi="Arial"/>
                <w:sz w:val="11"/>
                <w:szCs w:val="11"/>
                <w:b w:val="1"/>
                <w:bCs w:val="1"/>
                <w:color w:val="auto"/>
              </w:rPr>
              <w:t>(D) or Indirect</w:t>
            </w:r>
          </w:p>
        </w:tc>
        <w:tc>
          <w:tcPr>
            <w:tcW w:w="10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10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4"/>
            <w:vMerge w:val="restart"/>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4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8"/>
                <w:szCs w:val="8"/>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Held by</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vMerge w:val="restart"/>
          </w:tcPr>
          <w:p>
            <w:pPr>
              <w:jc w:val="right"/>
              <w:ind w:right="5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2.66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Royce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60" w:type="dxa"/>
            <w:vAlign w:val="bottom"/>
            <w:gridSpan w:val="4"/>
          </w:tcPr>
          <w:p>
            <w:pPr>
              <w:ind w:left="60"/>
              <w:spacing w:after="0"/>
              <w:rPr>
                <w:sz w:val="20"/>
                <w:szCs w:val="20"/>
                <w:color w:val="auto"/>
              </w:rPr>
            </w:pPr>
            <w:r>
              <w:rPr>
                <w:rFonts w:ascii="Arial" w:cs="Arial" w:eastAsia="Arial" w:hAnsi="Arial"/>
                <w:sz w:val="16"/>
                <w:szCs w:val="16"/>
                <w:color w:val="0000FF"/>
              </w:rPr>
              <w:t>Common Stock, par value $0.01 per share</w:t>
            </w:r>
          </w:p>
        </w:tc>
        <w:tc>
          <w:tcPr>
            <w:tcW w:w="1000" w:type="dxa"/>
            <w:vAlign w:val="bottom"/>
            <w:gridSpan w:val="2"/>
          </w:tcPr>
          <w:p>
            <w:pPr>
              <w:jc w:val="center"/>
              <w:ind w:right="122"/>
              <w:spacing w:after="0"/>
              <w:rPr>
                <w:sz w:val="20"/>
                <w:szCs w:val="20"/>
                <w:color w:val="auto"/>
              </w:rPr>
            </w:pPr>
            <w:r>
              <w:rPr>
                <w:rFonts w:ascii="Arial" w:cs="Arial" w:eastAsia="Arial" w:hAnsi="Arial"/>
                <w:sz w:val="16"/>
                <w:szCs w:val="16"/>
                <w:color w:val="0000FF"/>
                <w:w w:val="92"/>
              </w:rPr>
              <w:t>06/14/2023</w:t>
            </w:r>
          </w:p>
        </w:tc>
        <w:tc>
          <w:tcPr>
            <w:tcW w:w="960" w:type="dxa"/>
            <w:vAlign w:val="bottom"/>
          </w:tcPr>
          <w:p>
            <w:pPr>
              <w:spacing w:after="0"/>
              <w:rPr>
                <w:sz w:val="17"/>
                <w:szCs w:val="17"/>
                <w:color w:val="auto"/>
              </w:rPr>
            </w:pPr>
          </w:p>
        </w:tc>
        <w:tc>
          <w:tcPr>
            <w:tcW w:w="780" w:type="dxa"/>
            <w:vAlign w:val="bottom"/>
          </w:tcPr>
          <w:p>
            <w:pPr>
              <w:ind w:left="220"/>
              <w:spacing w:after="0"/>
              <w:rPr>
                <w:sz w:val="20"/>
                <w:szCs w:val="20"/>
                <w:color w:val="auto"/>
              </w:rPr>
            </w:pPr>
            <w:r>
              <w:rPr>
                <w:rFonts w:ascii="Arial" w:cs="Arial" w:eastAsia="Arial" w:hAnsi="Arial"/>
                <w:sz w:val="12"/>
                <w:szCs w:val="12"/>
                <w:color w:val="0000FF"/>
              </w:rPr>
              <w:t>X</w:t>
            </w:r>
          </w:p>
        </w:tc>
        <w:tc>
          <w:tcPr>
            <w:tcW w:w="720" w:type="dxa"/>
            <w:vAlign w:val="bottom"/>
          </w:tcPr>
          <w:p>
            <w:pPr>
              <w:jc w:val="right"/>
              <w:spacing w:after="0"/>
              <w:rPr>
                <w:sz w:val="20"/>
                <w:szCs w:val="20"/>
                <w:color w:val="auto"/>
              </w:rPr>
            </w:pPr>
            <w:r>
              <w:rPr>
                <w:rFonts w:ascii="Arial" w:cs="Arial" w:eastAsia="Arial" w:hAnsi="Arial"/>
                <w:sz w:val="16"/>
                <w:szCs w:val="16"/>
                <w:color w:val="0000FF"/>
              </w:rPr>
              <w:t>497,208</w:t>
            </w:r>
          </w:p>
        </w:tc>
        <w:tc>
          <w:tcPr>
            <w:tcW w:w="560" w:type="dxa"/>
            <w:vAlign w:val="bottom"/>
          </w:tcPr>
          <w:p>
            <w:pPr>
              <w:ind w:left="320"/>
              <w:spacing w:after="0"/>
              <w:rPr>
                <w:sz w:val="20"/>
                <w:szCs w:val="20"/>
                <w:color w:val="auto"/>
              </w:rPr>
            </w:pPr>
            <w:r>
              <w:rPr>
                <w:rFonts w:ascii="Arial" w:cs="Arial" w:eastAsia="Arial" w:hAnsi="Arial"/>
                <w:sz w:val="16"/>
                <w:szCs w:val="16"/>
                <w:color w:val="0000FF"/>
              </w:rPr>
              <w:t>A</w:t>
            </w: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gridSpan w:val="3"/>
          </w:tcPr>
          <w:p>
            <w:pPr>
              <w:jc w:val="right"/>
              <w:ind w:right="583"/>
              <w:spacing w:after="0"/>
              <w:rPr>
                <w:sz w:val="20"/>
                <w:szCs w:val="20"/>
                <w:color w:val="auto"/>
              </w:rPr>
            </w:pPr>
            <w:r>
              <w:rPr>
                <w:rFonts w:ascii="Arial" w:cs="Arial" w:eastAsia="Arial" w:hAnsi="Arial"/>
                <w:sz w:val="16"/>
                <w:szCs w:val="16"/>
                <w:color w:val="0000FF"/>
              </w:rPr>
              <w:t>1,727,510</w:t>
            </w:r>
          </w:p>
        </w:tc>
        <w:tc>
          <w:tcPr>
            <w:tcW w:w="540" w:type="dxa"/>
            <w:vAlign w:val="bottom"/>
          </w:tcPr>
          <w:p>
            <w:pPr>
              <w:ind w:left="40"/>
              <w:spacing w:after="0"/>
              <w:rPr>
                <w:sz w:val="20"/>
                <w:szCs w:val="20"/>
                <w:color w:val="auto"/>
              </w:rPr>
            </w:pPr>
            <w:r>
              <w:rPr>
                <w:rFonts w:ascii="Arial" w:cs="Arial" w:eastAsia="Arial" w:hAnsi="Arial"/>
                <w:sz w:val="16"/>
                <w:szCs w:val="16"/>
                <w:color w:val="0000FF"/>
              </w:rPr>
              <w:t>I</w:t>
            </w: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Family</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Investments,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LLC</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Held by</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6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 par value $0.01 per share</w:t>
            </w:r>
          </w:p>
        </w:tc>
        <w:tc>
          <w:tcPr>
            <w:tcW w:w="1000" w:type="dxa"/>
            <w:vAlign w:val="bottom"/>
            <w:gridSpan w:val="2"/>
            <w:vMerge w:val="restart"/>
          </w:tcPr>
          <w:p>
            <w:pPr>
              <w:jc w:val="center"/>
              <w:ind w:right="122"/>
              <w:spacing w:after="0"/>
              <w:rPr>
                <w:sz w:val="20"/>
                <w:szCs w:val="20"/>
                <w:color w:val="auto"/>
              </w:rPr>
            </w:pPr>
            <w:r>
              <w:rPr>
                <w:rFonts w:ascii="Arial" w:cs="Arial" w:eastAsia="Arial" w:hAnsi="Arial"/>
                <w:sz w:val="16"/>
                <w:szCs w:val="16"/>
                <w:color w:val="0000FF"/>
                <w:w w:val="92"/>
              </w:rPr>
              <w:t>06/14/2023</w:t>
            </w:r>
          </w:p>
        </w:tc>
        <w:tc>
          <w:tcPr>
            <w:tcW w:w="96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0000FF"/>
              </w:rPr>
              <w:t>X</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0000FF"/>
              </w:rPr>
              <w:t>98,071</w:t>
            </w:r>
          </w:p>
        </w:tc>
        <w:tc>
          <w:tcPr>
            <w:tcW w:w="560" w:type="dxa"/>
            <w:vAlign w:val="bottom"/>
            <w:vMerge w:val="restart"/>
          </w:tcPr>
          <w:p>
            <w:pPr>
              <w:ind w:left="320"/>
              <w:spacing w:after="0"/>
              <w:rPr>
                <w:sz w:val="20"/>
                <w:szCs w:val="20"/>
                <w:color w:val="auto"/>
              </w:rPr>
            </w:pPr>
            <w:r>
              <w:rPr>
                <w:rFonts w:ascii="Arial" w:cs="Arial" w:eastAsia="Arial" w:hAnsi="Arial"/>
                <w:sz w:val="16"/>
                <w:szCs w:val="16"/>
                <w:color w:val="0000FF"/>
              </w:rPr>
              <w:t>A</w:t>
            </w:r>
          </w:p>
        </w:tc>
        <w:tc>
          <w:tcPr>
            <w:tcW w:w="680" w:type="dxa"/>
            <w:vAlign w:val="bottom"/>
            <w:vMerge w:val="restart"/>
          </w:tcPr>
          <w:p>
            <w:pPr>
              <w:jc w:val="right"/>
              <w:ind w:right="5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2.66</w:t>
            </w:r>
          </w:p>
        </w:tc>
        <w:tc>
          <w:tcPr>
            <w:tcW w:w="40" w:type="dxa"/>
            <w:vAlign w:val="bottom"/>
          </w:tcPr>
          <w:p>
            <w:pPr>
              <w:spacing w:after="0"/>
              <w:rPr>
                <w:sz w:val="17"/>
                <w:szCs w:val="17"/>
                <w:color w:val="auto"/>
              </w:rPr>
            </w:pPr>
          </w:p>
        </w:tc>
        <w:tc>
          <w:tcPr>
            <w:tcW w:w="1480" w:type="dxa"/>
            <w:vAlign w:val="bottom"/>
            <w:gridSpan w:val="3"/>
            <w:vMerge w:val="restart"/>
          </w:tcPr>
          <w:p>
            <w:pPr>
              <w:jc w:val="right"/>
              <w:ind w:right="643"/>
              <w:spacing w:after="0"/>
              <w:rPr>
                <w:sz w:val="20"/>
                <w:szCs w:val="20"/>
                <w:color w:val="auto"/>
              </w:rPr>
            </w:pPr>
            <w:r>
              <w:rPr>
                <w:rFonts w:ascii="Arial" w:cs="Arial" w:eastAsia="Arial" w:hAnsi="Arial"/>
                <w:sz w:val="16"/>
                <w:szCs w:val="16"/>
                <w:color w:val="0000FF"/>
              </w:rPr>
              <w:t>392,285</w:t>
            </w:r>
          </w:p>
        </w:tc>
        <w:tc>
          <w:tcPr>
            <w:tcW w:w="54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Royce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60" w:type="dxa"/>
            <w:vAlign w:val="bottom"/>
            <w:gridSpan w:val="4"/>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40" w:type="dxa"/>
            <w:vAlign w:val="bottom"/>
            <w:gridSpan w:val="4"/>
            <w:vMerge w:val="restart"/>
          </w:tcPr>
          <w:p>
            <w:pPr>
              <w:ind w:left="40"/>
              <w:spacing w:after="0"/>
              <w:rPr>
                <w:sz w:val="20"/>
                <w:szCs w:val="20"/>
                <w:color w:val="auto"/>
              </w:rPr>
            </w:pPr>
            <w:r>
              <w:rPr>
                <w:rFonts w:ascii="Arial" w:cs="Arial" w:eastAsia="Arial" w:hAnsi="Arial"/>
                <w:sz w:val="16"/>
                <w:szCs w:val="16"/>
                <w:color w:val="0000FF"/>
              </w:rPr>
              <w:t>Family</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Fund, Inc.</w:t>
            </w: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8"/>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00" w:type="dxa"/>
            <w:vAlign w:val="bottom"/>
            <w:tcBorders>
              <w:top w:val="single" w:sz="8" w:color="2C2C2C"/>
            </w:tcBorders>
            <w:gridSpan w:val="11"/>
          </w:tcPr>
          <w:p>
            <w:pPr>
              <w:jc w:val="center"/>
              <w:ind w:right="14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74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spacing w:after="0"/>
              <w:rPr>
                <w:sz w:val="13"/>
                <w:szCs w:val="13"/>
                <w:color w:val="auto"/>
              </w:rPr>
            </w:pPr>
          </w:p>
        </w:tc>
        <w:tc>
          <w:tcPr>
            <w:tcW w:w="700" w:type="dxa"/>
            <w:vAlign w:val="bottom"/>
          </w:tcPr>
          <w:p>
            <w:pPr>
              <w:jc w:val="center"/>
              <w:ind w:right="422"/>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80"/>
              <w:spacing w:after="0" w:line="124" w:lineRule="exact"/>
              <w:rPr>
                <w:sz w:val="20"/>
                <w:szCs w:val="20"/>
                <w:color w:val="auto"/>
              </w:rPr>
            </w:pPr>
            <w:r>
              <w:rPr>
                <w:rFonts w:ascii="Arial" w:cs="Arial" w:eastAsia="Arial" w:hAnsi="Arial"/>
                <w:sz w:val="11"/>
                <w:szCs w:val="11"/>
                <w:b w:val="1"/>
                <w:bCs w:val="1"/>
                <w:color w:val="auto"/>
              </w:rPr>
              <w:t>Ownership</w:t>
            </w:r>
          </w:p>
        </w:tc>
        <w:tc>
          <w:tcPr>
            <w:tcW w:w="7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2"/>
              <w:spacing w:after="0" w:line="124" w:lineRule="exact"/>
              <w:rPr>
                <w:sz w:val="20"/>
                <w:szCs w:val="20"/>
                <w:color w:val="auto"/>
              </w:rPr>
            </w:pPr>
            <w:r>
              <w:rPr>
                <w:rFonts w:ascii="Arial" w:cs="Arial" w:eastAsia="Arial" w:hAnsi="Arial"/>
                <w:sz w:val="11"/>
                <w:szCs w:val="11"/>
                <w:b w:val="1"/>
                <w:bCs w:val="1"/>
                <w:color w:val="auto"/>
              </w:rPr>
              <w:t>8)</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80"/>
              <w:spacing w:after="0" w:line="124" w:lineRule="exact"/>
              <w:rPr>
                <w:sz w:val="20"/>
                <w:szCs w:val="20"/>
                <w:color w:val="auto"/>
              </w:rPr>
            </w:pPr>
            <w:r>
              <w:rPr>
                <w:rFonts w:ascii="Arial" w:cs="Arial" w:eastAsia="Arial" w:hAnsi="Arial"/>
                <w:sz w:val="11"/>
                <w:szCs w:val="11"/>
                <w:b w:val="1"/>
                <w:bCs w:val="1"/>
                <w:color w:val="auto"/>
              </w:rPr>
              <w:t>Direct (D)</w:t>
            </w:r>
          </w:p>
        </w:tc>
        <w:tc>
          <w:tcPr>
            <w:tcW w:w="7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80"/>
              <w:spacing w:after="0" w:line="124" w:lineRule="exact"/>
              <w:rPr>
                <w:sz w:val="20"/>
                <w:szCs w:val="20"/>
                <w:color w:val="auto"/>
              </w:rPr>
            </w:pPr>
            <w:r>
              <w:rPr>
                <w:rFonts w:ascii="Arial" w:cs="Arial" w:eastAsia="Arial" w:hAnsi="Arial"/>
                <w:sz w:val="11"/>
                <w:szCs w:val="11"/>
                <w:b w:val="1"/>
                <w:bCs w:val="1"/>
                <w:color w:val="auto"/>
              </w:rPr>
              <w:t>or Indirect</w:t>
            </w:r>
          </w:p>
        </w:tc>
        <w:tc>
          <w:tcPr>
            <w:tcW w:w="7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80"/>
              <w:spacing w:after="0" w:line="124" w:lineRule="exact"/>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1300" w:type="dxa"/>
            <w:vAlign w:val="bottom"/>
            <w:gridSpan w:val="2"/>
            <w:vMerge w:val="restart"/>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color w:val="0000FF"/>
                <w:w w:val="97"/>
              </w:rPr>
              <w:t>Transferable</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color w:val="0000FF"/>
              </w:rPr>
              <w:t>Held by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40" w:type="dxa"/>
            <w:vAlign w:val="bottom"/>
          </w:tcPr>
          <w:p>
            <w:pPr>
              <w:ind w:left="60"/>
              <w:spacing w:after="0" w:line="137" w:lineRule="exact"/>
              <w:rPr>
                <w:sz w:val="20"/>
                <w:szCs w:val="20"/>
                <w:color w:val="auto"/>
              </w:rPr>
            </w:pPr>
            <w:r>
              <w:rPr>
                <w:rFonts w:ascii="Arial" w:cs="Arial" w:eastAsia="Arial" w:hAnsi="Arial"/>
                <w:sz w:val="12"/>
                <w:szCs w:val="12"/>
                <w:color w:val="0000FF"/>
                <w:w w:val="99"/>
              </w:rPr>
              <w:t>Subscription</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1"/>
              </w:rPr>
              <w:t>497,208</w:t>
            </w:r>
            <w:r>
              <w:rPr>
                <w:rFonts w:ascii="Arial" w:cs="Arial" w:eastAsia="Arial" w:hAnsi="Arial"/>
                <w:sz w:val="20"/>
                <w:szCs w:val="20"/>
                <w:color w:val="008000"/>
                <w:w w:val="91"/>
                <w:vertAlign w:val="superscript"/>
              </w:rPr>
              <w:t>(2)</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Royce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color w:val="0000FF"/>
              </w:rPr>
              <w:t>Rights</w:t>
            </w:r>
          </w:p>
        </w:tc>
        <w:tc>
          <w:tcPr>
            <w:tcW w:w="74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2.66</w:t>
            </w:r>
          </w:p>
        </w:tc>
        <w:tc>
          <w:tcPr>
            <w:tcW w:w="1040" w:type="dxa"/>
            <w:vAlign w:val="bottom"/>
          </w:tcPr>
          <w:p>
            <w:pPr>
              <w:jc w:val="right"/>
              <w:ind w:right="182"/>
              <w:spacing w:after="0"/>
              <w:rPr>
                <w:sz w:val="20"/>
                <w:szCs w:val="20"/>
                <w:color w:val="auto"/>
              </w:rPr>
            </w:pPr>
            <w:r>
              <w:rPr>
                <w:rFonts w:ascii="Arial" w:cs="Arial" w:eastAsia="Arial" w:hAnsi="Arial"/>
                <w:sz w:val="12"/>
                <w:szCs w:val="12"/>
                <w:color w:val="0000FF"/>
              </w:rPr>
              <w:t>06/14/2023</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200"/>
              <w:spacing w:after="0"/>
              <w:rPr>
                <w:sz w:val="20"/>
                <w:szCs w:val="20"/>
                <w:color w:val="auto"/>
              </w:rPr>
            </w:pPr>
            <w:r>
              <w:rPr>
                <w:rFonts w:ascii="Arial" w:cs="Arial" w:eastAsia="Arial" w:hAnsi="Arial"/>
                <w:sz w:val="12"/>
                <w:szCs w:val="12"/>
                <w:color w:val="0000FF"/>
              </w:rPr>
              <w:t>X</w:t>
            </w:r>
          </w:p>
        </w:tc>
        <w:tc>
          <w:tcPr>
            <w:tcW w:w="960" w:type="dxa"/>
            <w:vAlign w:val="bottom"/>
          </w:tcPr>
          <w:p>
            <w:pPr>
              <w:jc w:val="center"/>
              <w:spacing w:after="0" w:line="158" w:lineRule="exact"/>
              <w:rPr>
                <w:sz w:val="20"/>
                <w:szCs w:val="20"/>
                <w:color w:val="auto"/>
              </w:rPr>
            </w:pPr>
            <w:r>
              <w:rPr>
                <w:rFonts w:ascii="Arial" w:cs="Arial" w:eastAsia="Arial" w:hAnsi="Arial"/>
                <w:sz w:val="11"/>
                <w:szCs w:val="11"/>
                <w:color w:val="0000FF"/>
              </w:rPr>
              <w:t>497,208</w:t>
            </w:r>
            <w:r>
              <w:rPr>
                <w:rFonts w:ascii="Arial" w:cs="Arial" w:eastAsia="Arial" w:hAnsi="Arial"/>
                <w:sz w:val="18"/>
                <w:szCs w:val="18"/>
                <w:color w:val="008000"/>
                <w:vertAlign w:val="superscript"/>
              </w:rPr>
              <w:t>(2)</w:t>
            </w:r>
          </w:p>
        </w:tc>
        <w:tc>
          <w:tcPr>
            <w:tcW w:w="780" w:type="dxa"/>
            <w:vAlign w:val="bottom"/>
          </w:tcPr>
          <w:p>
            <w:pPr>
              <w:ind w:left="120"/>
              <w:spacing w:after="0"/>
              <w:rPr>
                <w:sz w:val="20"/>
                <w:szCs w:val="20"/>
                <w:color w:val="auto"/>
              </w:rPr>
            </w:pPr>
            <w:r>
              <w:rPr>
                <w:rFonts w:ascii="Arial" w:cs="Arial" w:eastAsia="Arial" w:hAnsi="Arial"/>
                <w:sz w:val="12"/>
                <w:szCs w:val="12"/>
                <w:color w:val="0000FF"/>
              </w:rPr>
              <w:t>05/24/2023</w:t>
            </w:r>
          </w:p>
        </w:tc>
        <w:tc>
          <w:tcPr>
            <w:tcW w:w="720" w:type="dxa"/>
            <w:vAlign w:val="bottom"/>
          </w:tcPr>
          <w:p>
            <w:pPr>
              <w:ind w:left="60"/>
              <w:spacing w:after="0"/>
              <w:rPr>
                <w:sz w:val="20"/>
                <w:szCs w:val="20"/>
                <w:color w:val="auto"/>
              </w:rPr>
            </w:pPr>
            <w:r>
              <w:rPr>
                <w:rFonts w:ascii="Arial" w:cs="Arial" w:eastAsia="Arial" w:hAnsi="Arial"/>
                <w:sz w:val="12"/>
                <w:szCs w:val="12"/>
                <w:color w:val="0000FF"/>
              </w:rPr>
              <w:t>06/14/2023</w:t>
            </w:r>
          </w:p>
        </w:tc>
        <w:tc>
          <w:tcPr>
            <w:tcW w:w="56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2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760" w:type="dxa"/>
            <w:vAlign w:val="bottom"/>
          </w:tcPr>
          <w:p>
            <w:pPr>
              <w:ind w:left="400"/>
              <w:spacing w:after="0"/>
              <w:rPr>
                <w:sz w:val="20"/>
                <w:szCs w:val="20"/>
                <w:color w:val="auto"/>
              </w:rPr>
            </w:pPr>
            <w:r>
              <w:rPr>
                <w:rFonts w:ascii="Arial" w:cs="Arial" w:eastAsia="Arial" w:hAnsi="Arial"/>
                <w:sz w:val="12"/>
                <w:szCs w:val="12"/>
                <w:color w:val="0000FF"/>
              </w:rPr>
              <w:t>0</w:t>
            </w:r>
          </w:p>
        </w:tc>
        <w:tc>
          <w:tcPr>
            <w:tcW w:w="540" w:type="dxa"/>
            <w:vAlign w:val="bottom"/>
          </w:tcPr>
          <w:p>
            <w:pPr>
              <w:ind w:left="440"/>
              <w:spacing w:after="0"/>
              <w:rPr>
                <w:sz w:val="20"/>
                <w:szCs w:val="20"/>
                <w:color w:val="auto"/>
              </w:rPr>
            </w:pPr>
            <w:r>
              <w:rPr>
                <w:rFonts w:ascii="Arial" w:cs="Arial" w:eastAsia="Arial" w:hAnsi="Arial"/>
                <w:sz w:val="12"/>
                <w:szCs w:val="12"/>
                <w:color w:val="0000FF"/>
              </w:rPr>
              <w:t>I</w:t>
            </w:r>
          </w:p>
        </w:tc>
        <w:tc>
          <w:tcPr>
            <w:tcW w:w="28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color w:val="0000FF"/>
              </w:rPr>
              <w:t>Family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 w:type="dxa"/>
            <w:vAlign w:val="bottom"/>
          </w:tcPr>
          <w:p>
            <w:pPr>
              <w:ind w:left="60"/>
              <w:spacing w:after="0" w:line="120" w:lineRule="exact"/>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ind w:left="120"/>
              <w:spacing w:after="0" w:line="112" w:lineRule="exact"/>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3"/>
          </w:tcPr>
          <w:p>
            <w:pPr>
              <w:ind w:left="60"/>
              <w:spacing w:after="0" w:line="120" w:lineRule="exact"/>
              <w:rPr>
                <w:sz w:val="20"/>
                <w:szCs w:val="20"/>
                <w:color w:val="auto"/>
              </w:rPr>
            </w:pPr>
            <w:r>
              <w:rPr>
                <w:rFonts w:ascii="Arial" w:cs="Arial" w:eastAsia="Arial" w:hAnsi="Arial"/>
                <w:sz w:val="12"/>
                <w:szCs w:val="12"/>
                <w:color w:val="0000FF"/>
                <w:w w:val="99"/>
              </w:rPr>
              <w:t>Investments,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 w:type="dxa"/>
            <w:vAlign w:val="bottom"/>
            <w:tcBorders>
              <w:bottom w:val="single" w:sz="8" w:color="2C2C2C"/>
            </w:tcBorders>
          </w:tcPr>
          <w:p>
            <w:pPr>
              <w:ind w:left="60"/>
              <w:spacing w:after="0" w:line="229" w:lineRule="exact"/>
              <w:rPr>
                <w:sz w:val="20"/>
                <w:szCs w:val="20"/>
                <w:color w:val="auto"/>
              </w:rPr>
            </w:pPr>
            <w:r>
              <w:rPr>
                <w:rFonts w:ascii="Arial" w:cs="Arial" w:eastAsia="Arial" w:hAnsi="Arial"/>
                <w:sz w:val="12"/>
                <w:szCs w:val="12"/>
                <w:color w:val="0000FF"/>
              </w:rPr>
              <w:t>buy)</w:t>
            </w:r>
            <w:r>
              <w:rPr>
                <w:rFonts w:ascii="Arial" w:cs="Arial" w:eastAsia="Arial" w:hAnsi="Arial"/>
                <w:sz w:val="20"/>
                <w:szCs w:val="20"/>
                <w:color w:val="008000"/>
                <w:vertAlign w:val="superscript"/>
              </w:rPr>
              <w:t>(1)</w:t>
            </w:r>
          </w:p>
        </w:tc>
        <w:tc>
          <w:tcPr>
            <w:tcW w:w="7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color w:val="0000FF"/>
              </w:rPr>
              <w:t>LLC</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color w:val="0000FF"/>
                <w:w w:val="97"/>
              </w:rPr>
              <w:t>Transferable</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2"/>
                <w:szCs w:val="12"/>
                <w:color w:val="0000FF"/>
              </w:rPr>
              <w:t>Held by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vMerge w:val="restart"/>
          </w:tcPr>
          <w:p>
            <w:pPr>
              <w:ind w:left="60"/>
              <w:spacing w:after="0" w:line="137" w:lineRule="exact"/>
              <w:rPr>
                <w:sz w:val="20"/>
                <w:szCs w:val="20"/>
                <w:color w:val="auto"/>
              </w:rPr>
            </w:pPr>
            <w:r>
              <w:rPr>
                <w:rFonts w:ascii="Arial" w:cs="Arial" w:eastAsia="Arial" w:hAnsi="Arial"/>
                <w:sz w:val="12"/>
                <w:szCs w:val="12"/>
                <w:color w:val="0000FF"/>
                <w:w w:val="99"/>
              </w:rPr>
              <w:t>Subscription</w:t>
            </w: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0000FF"/>
              </w:rPr>
              <w:t>Common</w:t>
            </w:r>
          </w:p>
        </w:tc>
        <w:tc>
          <w:tcPr>
            <w:tcW w:w="680" w:type="dxa"/>
            <w:vAlign w:val="bottom"/>
            <w:vMerge w:val="restart"/>
          </w:tcPr>
          <w:p>
            <w:pPr>
              <w:jc w:val="right"/>
              <w:ind w:right="12"/>
              <w:spacing w:after="0"/>
              <w:rPr>
                <w:sz w:val="20"/>
                <w:szCs w:val="20"/>
                <w:color w:val="auto"/>
              </w:rPr>
            </w:pPr>
            <w:r>
              <w:rPr>
                <w:rFonts w:ascii="Arial" w:cs="Arial" w:eastAsia="Arial" w:hAnsi="Arial"/>
                <w:sz w:val="16"/>
                <w:szCs w:val="16"/>
                <w:color w:val="0000FF"/>
              </w:rPr>
              <w:t>98,071</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2"/>
                <w:szCs w:val="12"/>
                <w:color w:val="0000FF"/>
              </w:rPr>
              <w:t>Royce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color w:val="0000FF"/>
              </w:rPr>
              <w:t>Rights</w:t>
            </w:r>
          </w:p>
        </w:tc>
        <w:tc>
          <w:tcPr>
            <w:tcW w:w="740" w:type="dxa"/>
            <w:vAlign w:val="bottom"/>
          </w:tcPr>
          <w:p>
            <w:pPr>
              <w:ind w:left="24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2.66</w:t>
            </w:r>
          </w:p>
        </w:tc>
        <w:tc>
          <w:tcPr>
            <w:tcW w:w="1040" w:type="dxa"/>
            <w:vAlign w:val="bottom"/>
          </w:tcPr>
          <w:p>
            <w:pPr>
              <w:jc w:val="right"/>
              <w:ind w:right="182"/>
              <w:spacing w:after="0" w:line="133" w:lineRule="exact"/>
              <w:rPr>
                <w:sz w:val="20"/>
                <w:szCs w:val="20"/>
                <w:color w:val="auto"/>
              </w:rPr>
            </w:pPr>
            <w:r>
              <w:rPr>
                <w:rFonts w:ascii="Arial" w:cs="Arial" w:eastAsia="Arial" w:hAnsi="Arial"/>
                <w:sz w:val="12"/>
                <w:szCs w:val="12"/>
                <w:color w:val="0000FF"/>
              </w:rPr>
              <w:t>06/14/2023</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200"/>
              <w:spacing w:after="0" w:line="133" w:lineRule="exact"/>
              <w:rPr>
                <w:sz w:val="20"/>
                <w:szCs w:val="20"/>
                <w:color w:val="auto"/>
              </w:rPr>
            </w:pPr>
            <w:r>
              <w:rPr>
                <w:rFonts w:ascii="Arial" w:cs="Arial" w:eastAsia="Arial" w:hAnsi="Arial"/>
                <w:sz w:val="12"/>
                <w:szCs w:val="12"/>
                <w:color w:val="0000FF"/>
              </w:rPr>
              <w:t>X</w:t>
            </w:r>
          </w:p>
        </w:tc>
        <w:tc>
          <w:tcPr>
            <w:tcW w:w="960" w:type="dxa"/>
            <w:vAlign w:val="bottom"/>
          </w:tcPr>
          <w:p>
            <w:pPr>
              <w:jc w:val="right"/>
              <w:ind w:right="64"/>
              <w:spacing w:after="0" w:line="133" w:lineRule="exact"/>
              <w:rPr>
                <w:sz w:val="20"/>
                <w:szCs w:val="20"/>
                <w:color w:val="auto"/>
              </w:rPr>
            </w:pPr>
            <w:r>
              <w:rPr>
                <w:rFonts w:ascii="Arial" w:cs="Arial" w:eastAsia="Arial" w:hAnsi="Arial"/>
                <w:sz w:val="12"/>
                <w:szCs w:val="12"/>
                <w:color w:val="0000FF"/>
              </w:rPr>
              <w:t>98,071</w:t>
            </w:r>
          </w:p>
        </w:tc>
        <w:tc>
          <w:tcPr>
            <w:tcW w:w="780" w:type="dxa"/>
            <w:vAlign w:val="bottom"/>
          </w:tcPr>
          <w:p>
            <w:pPr>
              <w:ind w:left="120"/>
              <w:spacing w:after="0" w:line="133" w:lineRule="exact"/>
              <w:rPr>
                <w:sz w:val="20"/>
                <w:szCs w:val="20"/>
                <w:color w:val="auto"/>
              </w:rPr>
            </w:pPr>
            <w:r>
              <w:rPr>
                <w:rFonts w:ascii="Arial" w:cs="Arial" w:eastAsia="Arial" w:hAnsi="Arial"/>
                <w:sz w:val="12"/>
                <w:szCs w:val="12"/>
                <w:color w:val="0000FF"/>
              </w:rPr>
              <w:t>05/24/2023</w:t>
            </w:r>
          </w:p>
        </w:tc>
        <w:tc>
          <w:tcPr>
            <w:tcW w:w="720" w:type="dxa"/>
            <w:vAlign w:val="bottom"/>
          </w:tcPr>
          <w:p>
            <w:pPr>
              <w:ind w:left="60"/>
              <w:spacing w:after="0" w:line="133" w:lineRule="exact"/>
              <w:rPr>
                <w:sz w:val="20"/>
                <w:szCs w:val="20"/>
                <w:color w:val="auto"/>
              </w:rPr>
            </w:pPr>
            <w:r>
              <w:rPr>
                <w:rFonts w:ascii="Arial" w:cs="Arial" w:eastAsia="Arial" w:hAnsi="Arial"/>
                <w:sz w:val="12"/>
                <w:szCs w:val="12"/>
                <w:color w:val="0000FF"/>
              </w:rPr>
              <w:t>06/14/2023</w:t>
            </w:r>
          </w:p>
        </w:tc>
        <w:tc>
          <w:tcPr>
            <w:tcW w:w="5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2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760" w:type="dxa"/>
            <w:vAlign w:val="bottom"/>
          </w:tcPr>
          <w:p>
            <w:pPr>
              <w:ind w:left="400"/>
              <w:spacing w:after="0" w:line="133" w:lineRule="exact"/>
              <w:rPr>
                <w:sz w:val="20"/>
                <w:szCs w:val="20"/>
                <w:color w:val="auto"/>
              </w:rPr>
            </w:pPr>
            <w:r>
              <w:rPr>
                <w:rFonts w:ascii="Arial" w:cs="Arial" w:eastAsia="Arial" w:hAnsi="Arial"/>
                <w:sz w:val="12"/>
                <w:szCs w:val="12"/>
                <w:color w:val="0000FF"/>
              </w:rPr>
              <w:t>0</w:t>
            </w:r>
          </w:p>
        </w:tc>
        <w:tc>
          <w:tcPr>
            <w:tcW w:w="540" w:type="dxa"/>
            <w:vAlign w:val="bottom"/>
          </w:tcPr>
          <w:p>
            <w:pPr>
              <w:ind w:left="440"/>
              <w:spacing w:after="0" w:line="133" w:lineRule="exact"/>
              <w:rPr>
                <w:sz w:val="20"/>
                <w:szCs w:val="20"/>
                <w:color w:val="auto"/>
              </w:rPr>
            </w:pPr>
            <w:r>
              <w:rPr>
                <w:rFonts w:ascii="Arial" w:cs="Arial" w:eastAsia="Arial" w:hAnsi="Arial"/>
                <w:sz w:val="12"/>
                <w:szCs w:val="12"/>
                <w:color w:val="0000FF"/>
              </w:rPr>
              <w:t>I</w:t>
            </w:r>
          </w:p>
        </w:tc>
        <w:tc>
          <w:tcPr>
            <w:tcW w:w="2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ind w:left="60"/>
              <w:spacing w:after="0" w:line="89" w:lineRule="exact"/>
              <w:rPr>
                <w:sz w:val="20"/>
                <w:szCs w:val="20"/>
                <w:color w:val="auto"/>
              </w:rPr>
            </w:pPr>
            <w:r>
              <w:rPr>
                <w:rFonts w:ascii="Arial" w:cs="Arial" w:eastAsia="Arial" w:hAnsi="Arial"/>
                <w:sz w:val="10"/>
                <w:szCs w:val="10"/>
                <w:color w:val="0000FF"/>
              </w:rPr>
              <w:t>(right to</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ind w:left="120"/>
              <w:spacing w:after="0" w:line="125" w:lineRule="exact"/>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3"/>
          </w:tcPr>
          <w:p>
            <w:pPr>
              <w:ind w:left="60"/>
              <w:spacing w:after="0" w:line="125" w:lineRule="exact"/>
              <w:rPr>
                <w:sz w:val="20"/>
                <w:szCs w:val="20"/>
                <w:color w:val="auto"/>
              </w:rPr>
            </w:pPr>
            <w:r>
              <w:rPr>
                <w:rFonts w:ascii="Arial" w:cs="Arial" w:eastAsia="Arial" w:hAnsi="Arial"/>
                <w:sz w:val="12"/>
                <w:szCs w:val="12"/>
                <w:color w:val="0000FF"/>
              </w:rPr>
              <w:t>Family</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93"/>
        </w:trPr>
        <w:tc>
          <w:tcPr>
            <w:tcW w:w="5320" w:type="dxa"/>
            <w:vAlign w:val="bottom"/>
            <w:vMerge w:val="restart"/>
          </w:tcPr>
          <w:p>
            <w:pPr>
              <w:spacing w:after="0"/>
              <w:rPr>
                <w:sz w:val="20"/>
                <w:szCs w:val="20"/>
                <w:color w:val="auto"/>
              </w:rPr>
            </w:pPr>
            <w:r>
              <w:rPr>
                <w:rFonts w:ascii="Arial" w:cs="Arial" w:eastAsia="Arial" w:hAnsi="Arial"/>
                <w:sz w:val="12"/>
                <w:szCs w:val="12"/>
                <w:color w:val="0000FF"/>
              </w:rPr>
              <w:t>buy)</w:t>
            </w:r>
            <w:r>
              <w:rPr>
                <w:rFonts w:ascii="Arial" w:cs="Arial" w:eastAsia="Arial" w:hAnsi="Arial"/>
                <w:sz w:val="20"/>
                <w:szCs w:val="20"/>
                <w:color w:val="008000"/>
                <w:vertAlign w:val="superscript"/>
              </w:rPr>
              <w:t>(1)</w:t>
            </w:r>
          </w:p>
        </w:tc>
        <w:tc>
          <w:tcPr>
            <w:tcW w:w="5480" w:type="dxa"/>
            <w:vAlign w:val="bottom"/>
          </w:tcPr>
          <w:p>
            <w:pPr>
              <w:ind w:left="4980"/>
              <w:spacing w:after="0"/>
              <w:rPr>
                <w:sz w:val="20"/>
                <w:szCs w:val="20"/>
                <w:color w:val="auto"/>
              </w:rPr>
            </w:pPr>
            <w:r>
              <w:rPr>
                <w:rFonts w:ascii="Arial" w:cs="Arial" w:eastAsia="Arial" w:hAnsi="Arial"/>
                <w:sz w:val="12"/>
                <w:szCs w:val="12"/>
                <w:color w:val="0000FF"/>
                <w:w w:val="89"/>
              </w:rPr>
              <w:t>Fund, Inc.</w:t>
            </w:r>
          </w:p>
        </w:tc>
        <w:tc>
          <w:tcPr>
            <w:tcW w:w="0" w:type="dxa"/>
            <w:vAlign w:val="bottom"/>
          </w:tcPr>
          <w:p>
            <w:pPr>
              <w:spacing w:after="0"/>
              <w:rPr>
                <w:sz w:val="1"/>
                <w:szCs w:val="1"/>
                <w:color w:val="auto"/>
              </w:rPr>
            </w:pPr>
          </w:p>
        </w:tc>
      </w:tr>
      <w:tr>
        <w:trPr>
          <w:trHeight w:val="119"/>
        </w:trPr>
        <w:tc>
          <w:tcPr>
            <w:tcW w:w="5320" w:type="dxa"/>
            <w:vAlign w:val="bottom"/>
            <w:vMerge w:val="continue"/>
          </w:tcPr>
          <w:p>
            <w:pPr>
              <w:spacing w:after="0"/>
              <w:rPr>
                <w:sz w:val="10"/>
                <w:szCs w:val="10"/>
                <w:color w:val="auto"/>
              </w:rPr>
            </w:pPr>
          </w:p>
        </w:tc>
        <w:tc>
          <w:tcPr>
            <w:tcW w:w="5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40" w:right="160" w:hanging="3"/>
        <w:spacing w:after="0" w:line="248"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May 10, 2023, Oxford Square Capital Corp. (the "Company") announced the commencement of a pro rata offering (the "Rights Offering") of transferable rights (the "Rights") to holders of the Company's common shares, as of the record date of May 23, 2023 ("Record Date Shareholder"), entitling the holders of such rights to subscribe for up to an aggregate of 16,633,723 of the Company's common shares. Record Date Shareholders received one Right for every three common shares held on the record date. The Rights entitle their holders to purchase one new common share for every one Right held. The subscription price per common share is $2.66 (the "basic subscription privilege"). The subscription rights expired if they were not exercised by 5:00 p.m. Eastern time on June 14, 2023.</w:t>
      </w:r>
    </w:p>
    <w:p>
      <w:pPr>
        <w:spacing w:after="0" w:line="26" w:lineRule="exact"/>
        <w:rPr>
          <w:rFonts w:ascii="Arial" w:cs="Arial" w:eastAsia="Arial" w:hAnsi="Arial"/>
          <w:sz w:val="12"/>
          <w:szCs w:val="12"/>
          <w:color w:val="008000"/>
        </w:rPr>
      </w:pPr>
    </w:p>
    <w:p>
      <w:pPr>
        <w:ind w:left="40" w:right="280" w:hanging="3"/>
        <w:spacing w:after="0" w:line="248" w:lineRule="auto"/>
        <w:tabs>
          <w:tab w:leader="none" w:pos="16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Rights Offering also included an oversubscription privilege, which entitled holders who fully exercised their basic subscription privilege the right to purchase at a price of $2.66 per common share additional common shares of the Company, subject to availability and pro rata allocation of shares among Record Date Shareholders exercising such oversubscription privilege. Includes approximately 87,108 shares issued pursuant to the over-subscription privilege in connection with the Rights Offering. The amount of shares issued pursuant to such over-subscription privilege to each exercising rights holder was determined on June 22, 2023.</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36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0"/>
              </w:rPr>
              <w:t>/s/ Charles M. Royce</w:t>
            </w:r>
          </w:p>
        </w:tc>
        <w:tc>
          <w:tcPr>
            <w:tcW w:w="84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7"/>
              </w:rPr>
              <w:t>07/07/2023</w:t>
            </w:r>
          </w:p>
        </w:tc>
      </w:tr>
      <w:tr>
        <w:trPr>
          <w:trHeight w:val="215"/>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60" w:hanging="3"/>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009121" TargetMode="External"/><Relationship Id="rId9" Type="http://schemas.openxmlformats.org/officeDocument/2006/relationships/hyperlink" Target="http://www.sec.gov/cgi-bin/browse-edgar?action=getcompany&amp;CIK=0001259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2023-07-07T11:47:10Z</dcterms:created>
  <dcterms:modified xsi:type="dcterms:W3CDTF">2023-07-07T11:47:10Z</dcterms:modified>
</cp:coreProperties>
</file>