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2775-01_8k.htm"/>
      <w:bookmarkStart w:id="1" w:name="ksea02927750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526__20"/>
      <w:bookmarkEnd w:id="2"/>
      <w:r>
        <w:rPr>
          <w:rFonts w:ascii="Times New Roman;Times;Serif" w:hAnsi="Times New Roman;Times;Serif"/>
          <w:b/>
          <w:i w:val="false"/>
          <w:caps w:val="false"/>
          <w:smallCaps w:val="false"/>
          <w:sz w:val="20"/>
        </w:rPr>
        <w:t>8-K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May 26, 2026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OXFORD SQUARE CAPITAL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charter) </w:t>
      </w:r>
    </w:p>
    <w:p>
      <w:pPr>
        <w:pStyle w:val="TextBody"/>
        <w:bidi w:val="0"/>
        <w:spacing w:before="0" w:after="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28" w:type="dxa"/>
          <w:right w:w="0" w:type="dxa"/>
        </w:tblCellMar>
      </w:tblPr>
      <w:tblGrid>
        <w:gridCol w:w="2360"/>
        <w:gridCol w:w="60"/>
        <w:gridCol w:w="1145"/>
        <w:gridCol w:w="60"/>
        <w:gridCol w:w="1565"/>
      </w:tblGrid>
      <w:tr>
        <w:trPr/>
        <w:tc>
          <w:tcPr>
            <w:tcW w:w="2360" w:type="dxa"/>
            <w:tcBorders>
              <w:bottom w:val="single" w:sz="8" w:space="0" w:color="000000"/>
            </w:tcBorders>
            <w:vAlign w:val="center"/>
          </w:tcPr>
          <w:p>
            <w:pPr>
              <w:pStyle w:val="TableContents"/>
              <w:bidi w:val="0"/>
              <w:spacing w:before="0" w:after="283"/>
              <w:jc w:val="center"/>
              <w:rPr>
                <w:b/>
                <w:sz w:val="20"/>
              </w:rPr>
            </w:pPr>
            <w:bookmarkStart w:id="5" w:name="xdx_90D_edei--EntityIncorporationStateCo"/>
            <w:bookmarkEnd w:id="5"/>
            <w:r>
              <w:rPr>
                <w:b/>
                <w:sz w:val="20"/>
              </w:rPr>
              <w:t>Maryland</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b/>
                <w:sz w:val="20"/>
              </w:rPr>
            </w:pPr>
            <w:bookmarkStart w:id="6" w:name="xdx_900_edei--EntityFileNumber_c20260526"/>
            <w:bookmarkEnd w:id="6"/>
            <w:r>
              <w:rPr>
                <w:b/>
                <w:sz w:val="20"/>
              </w:rPr>
              <w:t>814-00638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b/>
                <w:sz w:val="20"/>
              </w:rPr>
            </w:pPr>
            <w:bookmarkStart w:id="7" w:name="xdx_90B_edei--EntityTaxIdentificationNum"/>
            <w:bookmarkEnd w:id="7"/>
            <w:r>
              <w:rPr>
                <w:b/>
                <w:sz w:val="20"/>
              </w:rPr>
              <w:t>20-0188736</w:t>
            </w:r>
          </w:p>
        </w:tc>
      </w:tr>
      <w:tr>
        <w:trPr/>
        <w:tc>
          <w:tcPr>
            <w:tcW w:w="236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r>
        <w:trPr/>
        <w:tc>
          <w:tcPr>
            <w:tcW w:w="3565" w:type="dxa"/>
            <w:gridSpan w:val="3"/>
            <w:tcBorders/>
            <w:tcMar>
              <w:bottom w:w="0" w:type="dxa"/>
            </w:tcMar>
            <w:vAlign w:val="center"/>
          </w:tcPr>
          <w:p>
            <w:pPr>
              <w:pStyle w:val="TableContents"/>
              <w:bidi w:val="0"/>
              <w:spacing w:before="0" w:after="283"/>
              <w:jc w:val="center"/>
              <w:rPr/>
            </w:pPr>
            <w:r>
              <w:rPr/>
              <w:t> </w:t>
            </w:r>
          </w:p>
        </w:tc>
        <w:tc>
          <w:tcPr>
            <w:tcW w:w="1625" w:type="dxa"/>
            <w:gridSpan w:val="2"/>
            <w:tcBorders/>
            <w:tcMar>
              <w:bottom w:w="0" w:type="dxa"/>
            </w:tcMar>
            <w:vAlign w:val="center"/>
          </w:tcPr>
          <w:p>
            <w:pPr>
              <w:pStyle w:val="TableContents"/>
              <w:bidi w:val="0"/>
              <w:spacing w:before="0" w:after="283"/>
              <w:jc w:val="center"/>
              <w:rPr/>
            </w:pPr>
            <w:r>
              <w:rPr/>
              <w:t> </w:t>
            </w:r>
          </w:p>
        </w:tc>
      </w:tr>
      <w:tr>
        <w:trPr/>
        <w:tc>
          <w:tcPr>
            <w:tcW w:w="3565" w:type="dxa"/>
            <w:gridSpan w:val="3"/>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8 Sound Shore Drive, </w:t>
            </w:r>
            <w:bookmarkStart w:id="9" w:name="xdx_902_edei--EntityAddressAddressLine2_"/>
            <w:bookmarkEnd w:id="9"/>
            <w:r>
              <w:rPr>
                <w:rFonts w:ascii="Times New Roman;Times;Serif" w:hAnsi="Times New Roman;Times;Serif"/>
                <w:b/>
                <w:i w:val="false"/>
                <w:caps w:val="false"/>
                <w:smallCaps w:val="false"/>
                <w:sz w:val="20"/>
              </w:rPr>
              <w:t>Suite 255</w:t>
            </w:r>
          </w:p>
          <w:p>
            <w:pPr>
              <w:pStyle w:val="TableContents"/>
              <w:bidi w:val="0"/>
              <w:spacing w:before="0" w:after="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Greenwich, </w:t>
            </w:r>
            <w:bookmarkStart w:id="11" w:name="xdx_90A_edei--EntityAddressStateOrProvin"/>
            <w:bookmarkEnd w:id="11"/>
            <w:r>
              <w:rPr>
                <w:rFonts w:ascii="Times New Roman;Times;Serif" w:hAnsi="Times New Roman;Times;Serif"/>
                <w:b/>
                <w:i w:val="false"/>
                <w:caps w:val="false"/>
                <w:smallCaps w:val="false"/>
                <w:sz w:val="20"/>
              </w:rPr>
              <w:t>CT</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b/>
                <w:sz w:val="20"/>
              </w:rPr>
            </w:pPr>
            <w:bookmarkStart w:id="12" w:name="xdx_907_edei--EntityAddressPostalZipCode"/>
            <w:bookmarkEnd w:id="12"/>
            <w:r>
              <w:rPr>
                <w:b/>
                <w:sz w:val="20"/>
              </w:rPr>
              <w:t>06830</w:t>
            </w:r>
          </w:p>
        </w:tc>
      </w:tr>
      <w:tr>
        <w:trPr/>
        <w:tc>
          <w:tcPr>
            <w:tcW w:w="3565" w:type="dxa"/>
            <w:gridSpan w:val="3"/>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A_edei--CityAreaCode_c20260526__20"/>
      <w:bookmarkEnd w:id="13"/>
      <w:r>
        <w:rPr>
          <w:rFonts w:ascii="Times New Roman;Times;Serif" w:hAnsi="Times New Roman;Times;Serif"/>
          <w:b/>
          <w:i w:val="false"/>
          <w:caps w:val="false"/>
          <w:smallCaps w:val="false"/>
          <w:sz w:val="20"/>
        </w:rPr>
        <w:t xml:space="preserve">203) </w:t>
      </w:r>
      <w:bookmarkStart w:id="14" w:name="xdx_907_edei--LocalPhoneNumber_c20260526"/>
      <w:bookmarkEnd w:id="14"/>
      <w:r>
        <w:rPr>
          <w:rFonts w:ascii="Times New Roman;Times;Serif" w:hAnsi="Times New Roman;Times;Serif"/>
          <w:b/>
          <w:i w:val="false"/>
          <w:caps w:val="false"/>
          <w:smallCaps w:val="false"/>
          <w:sz w:val="20"/>
        </w:rPr>
        <w:t>983-5275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45"/>
        <w:gridCol w:w="7370"/>
      </w:tblGrid>
      <w:tr>
        <w:trPr/>
        <w:tc>
          <w:tcPr>
            <w:tcW w:w="245" w:type="dxa"/>
            <w:tcBorders/>
            <w:vAlign w:val="center"/>
          </w:tcPr>
          <w:p>
            <w:pPr>
              <w:pStyle w:val="TableContents"/>
              <w:bidi w:val="0"/>
              <w:spacing w:before="0" w:after="283"/>
              <w:jc w:val="left"/>
              <w:rPr/>
            </w:pPr>
            <w:bookmarkStart w:id="16" w:name="xdx_909_edei--SolicitingMaterial_c202605"/>
            <w:bookmarkEnd w:id="16"/>
            <w:r>
              <w:rPr/>
              <w:t>☐</w:t>
            </w:r>
          </w:p>
        </w:tc>
        <w:tc>
          <w:tcPr>
            <w:tcW w:w="7370" w:type="dxa"/>
            <w:tcBorders/>
            <w:vAlign w:val="center"/>
          </w:tcPr>
          <w:p>
            <w:pPr>
              <w:pStyle w:val="TableContents"/>
              <w:bidi w:val="0"/>
              <w:spacing w:before="0" w:after="283"/>
              <w:jc w:val="left"/>
              <w:rPr>
                <w:sz w:val="20"/>
              </w:rPr>
            </w:pPr>
            <w:r>
              <w:rPr>
                <w:sz w:val="20"/>
              </w:rPr>
              <w:t>Soliciting material pursuant to Rule 14a-12 under the Exchange Act (17 CFR 240.14a-12) </w:t>
            </w:r>
          </w:p>
        </w:tc>
      </w:tr>
    </w:tbl>
    <w:p>
      <w:pPr>
        <w:pStyle w:val="TextBody"/>
        <w:bidi w:val="0"/>
        <w:spacing w:before="0" w:after="0"/>
        <w:ind w:left="0" w:right="0" w:hanging="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110" w:type="dxa"/>
            <w:tcBorders/>
            <w:vAlign w:val="center"/>
          </w:tcPr>
          <w:p>
            <w:pPr>
              <w:pStyle w:val="TableContents"/>
              <w:bidi w:val="0"/>
              <w:spacing w:before="0" w:after="283"/>
              <w:jc w:val="left"/>
              <w:rPr>
                <w:sz w:val="20"/>
              </w:rPr>
            </w:pPr>
            <w:r>
              <w:rPr>
                <w:sz w:val="20"/>
              </w:rPr>
              <w:t>Pre-commencement communications pursuant to Rule 14d-2(b) under the Exchange Act (17 CFR 240.14d-2(b)) </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pPr>
            <w:bookmarkStart w:id="18" w:name="xdx_900_edei--PreCommencementIssuerTende"/>
            <w:bookmarkEnd w:id="18"/>
            <w:r>
              <w:rPr/>
              <w:t>☐</w:t>
            </w:r>
          </w:p>
        </w:tc>
        <w:tc>
          <w:tcPr>
            <w:tcW w:w="9050" w:type="dxa"/>
            <w:tcBorders/>
            <w:vAlign w:val="center"/>
          </w:tcPr>
          <w:p>
            <w:pPr>
              <w:pStyle w:val="TableContents"/>
              <w:bidi w:val="0"/>
              <w:spacing w:before="0" w:after="283"/>
              <w:jc w:val="left"/>
              <w:rPr>
                <w:sz w:val="20"/>
              </w:rPr>
            </w:pPr>
            <w:r>
              <w:rPr>
                <w:sz w:val="20"/>
              </w:rPr>
              <w:t>Pre-commencement communications pursuant to Rule 13e-4(c) under the Exchange Act (17 CFR 240.13e-4(c))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395" w:type="dxa"/>
        <w:jc w:val="left"/>
        <w:tblInd w:w="0" w:type="dxa"/>
        <w:tblLayout w:type="fixed"/>
        <w:tblCellMar>
          <w:top w:w="0" w:type="dxa"/>
          <w:left w:w="0" w:type="dxa"/>
          <w:bottom w:w="28" w:type="dxa"/>
          <w:right w:w="0" w:type="dxa"/>
        </w:tblCellMar>
      </w:tblPr>
      <w:tblGrid>
        <w:gridCol w:w="3410"/>
        <w:gridCol w:w="60"/>
        <w:gridCol w:w="860"/>
        <w:gridCol w:w="60"/>
        <w:gridCol w:w="3005"/>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b/>
                <w:sz w:val="20"/>
              </w:rPr>
            </w:pPr>
            <w:r>
              <w:rPr>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410" w:type="dxa"/>
            <w:tcBorders/>
            <w:shd w:fill="CCEEFF" w:val="clear"/>
            <w:tcMar>
              <w:bottom w:w="0" w:type="dxa"/>
            </w:tcMar>
            <w:vAlign w:val="center"/>
          </w:tcPr>
          <w:p>
            <w:pPr>
              <w:pStyle w:val="TableContents"/>
              <w:bidi w:val="0"/>
              <w:spacing w:before="0" w:after="283"/>
              <w:jc w:val="center"/>
              <w:rPr>
                <w:sz w:val="20"/>
              </w:rPr>
            </w:pPr>
            <w:bookmarkStart w:id="19" w:name="xdx_905_edei--Security12bTitle_c20260526"/>
            <w:bookmarkEnd w:id="19"/>
            <w:r>
              <w:rPr>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sz w:val="20"/>
              </w:rPr>
            </w:pPr>
            <w:bookmarkStart w:id="20" w:name="xdx_90F_edei--TradingSymbol_c20260526__2"/>
            <w:bookmarkEnd w:id="20"/>
            <w:r>
              <w:rPr>
                <w:sz w:val="20"/>
              </w:rPr>
              <w:t>OXSQ</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sz w:val="20"/>
              </w:rPr>
            </w:pPr>
            <w:bookmarkStart w:id="21" w:name="xdx_905_edei--SecurityExchangeName_c2026"/>
            <w:bookmarkEnd w:id="21"/>
            <w:r>
              <w:rPr>
                <w:sz w:val="20"/>
              </w:rPr>
              <w:t>NASDAQ Global Select Market LLC</w:t>
            </w:r>
          </w:p>
        </w:tc>
      </w:tr>
      <w:tr>
        <w:trPr/>
        <w:tc>
          <w:tcPr>
            <w:tcW w:w="3410" w:type="dxa"/>
            <w:tcBorders/>
            <w:shd w:fill="FFFFFF" w:val="clear"/>
            <w:tcMar>
              <w:bottom w:w="0" w:type="dxa"/>
            </w:tcMar>
            <w:vAlign w:val="center"/>
          </w:tcPr>
          <w:p>
            <w:pPr>
              <w:pStyle w:val="TableContents"/>
              <w:bidi w:val="0"/>
              <w:spacing w:before="0" w:after="283"/>
              <w:jc w:val="center"/>
              <w:rPr>
                <w:sz w:val="20"/>
              </w:rPr>
            </w:pPr>
            <w:bookmarkStart w:id="22" w:name="xdx_90E_edei--Security12bTitle_c20260526"/>
            <w:bookmarkEnd w:id="22"/>
            <w:r>
              <w:rPr>
                <w:sz w:val="20"/>
              </w:rPr>
              <w:t>5.50% Notes due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sz w:val="20"/>
              </w:rPr>
            </w:pPr>
            <w:bookmarkStart w:id="23" w:name="xdx_90D_edei--TradingSymbol_c20260526__2"/>
            <w:bookmarkEnd w:id="23"/>
            <w:r>
              <w:rPr>
                <w:sz w:val="20"/>
              </w:rPr>
              <w:t>OXSQG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center"/>
              <w:rPr>
                <w:sz w:val="20"/>
              </w:rPr>
            </w:pPr>
            <w:bookmarkStart w:id="24" w:name="xdx_90A_edei--SecurityExchangeName_c2026"/>
            <w:bookmarkEnd w:id="24"/>
            <w:r>
              <w:rPr>
                <w:sz w:val="20"/>
              </w:rPr>
              <w:t>NASDAQ Global Select Market LLC</w:t>
            </w:r>
          </w:p>
        </w:tc>
      </w:tr>
      <w:tr>
        <w:trPr/>
        <w:tc>
          <w:tcPr>
            <w:tcW w:w="3410" w:type="dxa"/>
            <w:tcBorders/>
            <w:shd w:fill="CCEEFF" w:val="clear"/>
            <w:tcMar>
              <w:bottom w:w="0" w:type="dxa"/>
            </w:tcMar>
            <w:vAlign w:val="center"/>
          </w:tcPr>
          <w:p>
            <w:pPr>
              <w:pStyle w:val="TableContents"/>
              <w:bidi w:val="0"/>
              <w:spacing w:before="0" w:after="283"/>
              <w:jc w:val="center"/>
              <w:rPr>
                <w:sz w:val="20"/>
              </w:rPr>
            </w:pPr>
            <w:bookmarkStart w:id="25" w:name="xdx_903_edei--Security12bTitle_c20260526"/>
            <w:bookmarkEnd w:id="25"/>
            <w:r>
              <w:rPr>
                <w:sz w:val="20"/>
              </w:rPr>
              <w:t>7.75% Notes due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center"/>
              <w:rPr>
                <w:sz w:val="20"/>
              </w:rPr>
            </w:pPr>
            <w:bookmarkStart w:id="26" w:name="xdx_903_edei--TradingSymbol_c20260526__2"/>
            <w:bookmarkEnd w:id="26"/>
            <w:r>
              <w:rPr>
                <w:sz w:val="20"/>
              </w:rPr>
              <w:t>OXSQH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center"/>
              <w:rPr>
                <w:sz w:val="20"/>
              </w:rPr>
            </w:pPr>
            <w:bookmarkStart w:id="27" w:name="xdx_90B_edei--SecurityExchangeName_c2026"/>
            <w:bookmarkEnd w:id="27"/>
            <w:r>
              <w:rPr>
                <w:sz w:val="20"/>
              </w:rPr>
              <w:t>NASDAQ Global Select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8" w:name="xdx_906_edei--EntityEmergingGrowthCompan"/>
      <w:bookmarkEnd w:id="28"/>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Changes in Registrant's Certifying Accountant.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26, 2026, Oxford Square Capital Corp. (the “Company”) dismissed PricewaterhouseCoopers LLP (“PwC”) as its independent registered public accounting firm and engaged Ernst &amp; Young LLP (“EY”) as its new independent registered public accounting firm. The decision to dismiss PwC and engage EY was approved by the Company’s board of directors (the “Board”) based on the recommendation of the audit committee of the Board.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reports of PwC on the Company’s financial statements as of and for the fiscal years ended December 31, 2025 and 2024 did not contain an adverse opinion or disclaimer of opinion and were not qualified or modified as to uncertainty, audit scope or accounting principles.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and in the subsequent interim period through May 26, 2026, there were (i) no disagreements between the Company and PwC on any matter of accounting principles or practices, financial statement disclosure, or auditing scope or procedure, which disagreements, if not resolved to the satisfaction of PwC, would have caused PwC to make reference to the subject matter of the disagreements in their reports on the financial statements for such years, and (ii) no reportable events (as that term is defined in Item 304(a)(1)(v) of Regulation S-K promulgated under the Securities Exchange Act of 1934, as amended (the “Exchange 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provided PwC with a copy of this disclosure and has requested that PwC provide the Company with a letter addressed to the Securities and Exchange Commission stating whether or not PwC agrees with the above statements. A copy of PwC’s letter, dated May 29, 2026, is attached as Exhibit 16.1 to this Current Report on Form 8-K.</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Company’s two most recent fiscal years and in the subsequent interim period through May 26, 2026, neither the Company nor any person on its behalf has consulted with EY with respect to either (i) the application of accounting principles to a specified transaction, either completed or proposed, or the type of audit opinion that might be rendered on the Company’s financial statements or (ii) any matter that was either the subject of a “disagreement” or a “reportable event” as such terms are defined in Items 304(a)(1)(iv) or 304(a)(1)(v), respectively, of Regulation S-K promulgated under the Exchange Act.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360" w:right="0" w:hanging="360"/>
        <w:jc w:val="both"/>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75"/>
        <w:gridCol w:w="245"/>
        <w:gridCol w:w="8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(d)</w:t>
            </w:r>
          </w:p>
        </w:tc>
        <w:tc>
          <w:tcPr>
            <w:tcW w:w="815" w:type="dxa"/>
            <w:tcBorders/>
            <w:vAlign w:val="center"/>
          </w:tcPr>
          <w:p>
            <w:pPr>
              <w:pStyle w:val="TableContents"/>
              <w:bidi w:val="0"/>
              <w:spacing w:before="0" w:after="283"/>
              <w:jc w:val="left"/>
              <w:rPr>
                <w:sz w:val="20"/>
              </w:rPr>
            </w:pPr>
            <w:r>
              <w:rPr>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28" w:type="dxa"/>
          <w:right w:w="0" w:type="dxa"/>
        </w:tblCellMar>
      </w:tblPr>
      <w:tblGrid>
        <w:gridCol w:w="1400"/>
        <w:gridCol w:w="60"/>
        <w:gridCol w:w="8660"/>
      </w:tblGrid>
      <w:tr>
        <w:trPr/>
        <w:tc>
          <w:tcPr>
            <w:tcW w:w="1400"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8660" w:type="dxa"/>
            <w:tcBorders>
              <w:bottom w:val="single" w:sz="8" w:space="0" w:color="000000"/>
            </w:tcBorders>
            <w:vAlign w:val="center"/>
          </w:tcPr>
          <w:p>
            <w:pPr>
              <w:pStyle w:val="TableContents"/>
              <w:bidi w:val="0"/>
              <w:spacing w:before="0" w:after="283"/>
              <w:jc w:val="left"/>
              <w:rPr>
                <w:b/>
                <w:sz w:val="20"/>
              </w:rPr>
            </w:pPr>
            <w:r>
              <w:rPr>
                <w:b/>
                <w:sz w:val="20"/>
              </w:rPr>
              <w:t>Description</w:t>
            </w:r>
          </w:p>
        </w:tc>
      </w:tr>
      <w:tr>
        <w:trPr/>
        <w:tc>
          <w:tcPr>
            <w:tcW w:w="1400" w:type="dxa"/>
            <w:tcBorders/>
            <w:shd w:fill="CCEEFF" w:val="clear"/>
            <w:tcMar>
              <w:bottom w:w="0" w:type="dxa"/>
            </w:tcMar>
            <w:vAlign w:val="center"/>
          </w:tcPr>
          <w:p>
            <w:pPr>
              <w:pStyle w:val="TableContents"/>
              <w:bidi w:val="0"/>
              <w:spacing w:before="0" w:after="283"/>
              <w:jc w:val="left"/>
              <w:rPr>
                <w:sz w:val="20"/>
              </w:rPr>
            </w:pPr>
            <w:r>
              <w:rPr>
                <w:sz w:val="20"/>
              </w:rPr>
              <w:t>16.1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60" w:type="dxa"/>
            <w:tcBorders/>
            <w:shd w:fill="CCEEFF" w:val="clear"/>
            <w:tcMar>
              <w:bottom w:w="0" w:type="dxa"/>
            </w:tcMar>
            <w:vAlign w:val="center"/>
          </w:tcPr>
          <w:p>
            <w:pPr>
              <w:pStyle w:val="TableContents"/>
              <w:bidi w:val="0"/>
              <w:spacing w:before="0" w:after="283"/>
              <w:jc w:val="left"/>
              <w:rPr/>
            </w:pPr>
            <w:hyperlink w:anchor="ea029277501_ex16-1.htm">
              <w:r>
                <w:rPr>
                  <w:rStyle w:val="InternetLink"/>
                  <w:sz w:val="20"/>
                </w:rPr>
                <w:t>Letter from PricewaterhouseCoopers LLP to the Securities and Exchange Commission dated May 29, 2026</w:t>
              </w:r>
            </w:hyperlink>
          </w:p>
        </w:tc>
      </w:tr>
      <w:tr>
        <w:trPr/>
        <w:tc>
          <w:tcPr>
            <w:tcW w:w="140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60"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1655"/>
        <w:gridCol w:w="697"/>
        <w:gridCol w:w="2382"/>
      </w:tblGrid>
      <w:tr>
        <w:trPr/>
        <w:tc>
          <w:tcPr>
            <w:tcW w:w="1655"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sz w:val="20"/>
              </w:rPr>
            </w:pPr>
            <w:r>
              <w:rPr>
                <w:sz w:val="20"/>
              </w:rPr>
              <w:t>OXFORD SQUARE CAPITAL CORP.</w:t>
            </w:r>
          </w:p>
        </w:tc>
      </w:tr>
      <w:tr>
        <w:trPr/>
        <w:tc>
          <w:tcPr>
            <w:tcW w:w="165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pPr>
            <w:r>
              <w:rPr/>
              <w:t> </w:t>
            </w:r>
          </w:p>
        </w:tc>
        <w:tc>
          <w:tcPr>
            <w:tcW w:w="2382"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sz w:val="20"/>
              </w:rPr>
            </w:pPr>
            <w:r>
              <w:rPr>
                <w:sz w:val="20"/>
              </w:rPr>
              <w:t>Date: May 29, 2026</w:t>
            </w:r>
          </w:p>
        </w:tc>
        <w:tc>
          <w:tcPr>
            <w:tcW w:w="697" w:type="dxa"/>
            <w:tcBorders/>
            <w:vAlign w:val="center"/>
          </w:tcPr>
          <w:p>
            <w:pPr>
              <w:pStyle w:val="TableContents"/>
              <w:bidi w:val="0"/>
              <w:spacing w:before="0" w:after="283"/>
              <w:jc w:val="left"/>
              <w:rPr>
                <w:sz w:val="20"/>
              </w:rPr>
            </w:pPr>
            <w:r>
              <w:rPr>
                <w:sz w:val="20"/>
              </w:rPr>
              <w:t>By:</w:t>
            </w:r>
          </w:p>
        </w:tc>
        <w:tc>
          <w:tcPr>
            <w:tcW w:w="2382" w:type="dxa"/>
            <w:tcBorders>
              <w:bottom w:val="single" w:sz="8" w:space="0" w:color="000000"/>
            </w:tcBorders>
            <w:tcMar>
              <w:bottom w:w="28" w:type="dxa"/>
            </w:tcMar>
            <w:vAlign w:val="center"/>
          </w:tcPr>
          <w:p>
            <w:pPr>
              <w:pStyle w:val="TableContents"/>
              <w:bidi w:val="0"/>
              <w:spacing w:before="0" w:after="283"/>
              <w:jc w:val="left"/>
              <w:rPr/>
            </w:pPr>
            <w:r>
              <w:rPr/>
              <w:t>/s/ Saul B. Rosenthal</w:t>
            </w:r>
          </w:p>
        </w:tc>
      </w:tr>
      <w:tr>
        <w:trPr/>
        <w:tc>
          <w:tcPr>
            <w:tcW w:w="165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sz w:val="20"/>
              </w:rPr>
            </w:pPr>
            <w:r>
              <w:rPr>
                <w:sz w:val="20"/>
              </w:rPr>
              <w:t>Name: </w:t>
            </w:r>
          </w:p>
        </w:tc>
        <w:tc>
          <w:tcPr>
            <w:tcW w:w="2382" w:type="dxa"/>
            <w:tcBorders/>
            <w:vAlign w:val="center"/>
          </w:tcPr>
          <w:p>
            <w:pPr>
              <w:pStyle w:val="TableContents"/>
              <w:bidi w:val="0"/>
              <w:spacing w:before="0" w:after="283"/>
              <w:jc w:val="left"/>
              <w:rPr>
                <w:sz w:val="20"/>
              </w:rPr>
            </w:pPr>
            <w:r>
              <w:rPr>
                <w:sz w:val="20"/>
              </w:rPr>
              <w:t>Saul B. Rosenthal</w:t>
            </w:r>
          </w:p>
        </w:tc>
      </w:tr>
      <w:tr>
        <w:trPr/>
        <w:tc>
          <w:tcPr>
            <w:tcW w:w="1655"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before="0" w:after="283"/>
              <w:jc w:val="left"/>
              <w:rPr>
                <w:sz w:val="20"/>
              </w:rPr>
            </w:pPr>
            <w:r>
              <w:rPr>
                <w:sz w:val="20"/>
              </w:rPr>
              <w:t>Title:</w:t>
            </w:r>
          </w:p>
        </w:tc>
        <w:tc>
          <w:tcPr>
            <w:tcW w:w="2382" w:type="dxa"/>
            <w:tcBorders/>
            <w:vAlign w:val="center"/>
          </w:tcPr>
          <w:p>
            <w:pPr>
              <w:pStyle w:val="TableContents"/>
              <w:bidi w:val="0"/>
              <w:spacing w:before="0" w:after="283"/>
              <w:jc w:val="left"/>
              <w:rPr>
                <w:sz w:val="20"/>
              </w:rPr>
            </w:pPr>
            <w:r>
              <w:rPr>
                <w:sz w:val="20"/>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9277501_ex16-1.htm"/>
      <w:bookmarkStart w:id="30" w:name="ksea029277501_ex161"/>
      <w:bookmarkEnd w:id="29"/>
      <w:bookmarkEnd w:id="30"/>
      <w:r>
        <w:rPr>
          <w:rFonts w:ascii="Times New Roman;Times;Serif" w:hAnsi="Times New Roman;Times;Serif"/>
          <w:b/>
          <w:i w:val="false"/>
          <w:caps w:val="false"/>
          <w:smallCaps w:val="false"/>
          <w:sz w:val="20"/>
        </w:rPr>
        <w:t>Exhibit 16.1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2192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704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29,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Oxford Square Capital Corp. (copy attached), which we understand will be filed with the Securities and Exchange Commission, pursuant to Item 4.01 of Form 8-K of Oxford Square Capital Corp. dated May 26, 2026. We agree with the statements concerning our Firm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Attachment</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1535"/>
        <w:gridCol w:w="4355"/>
      </w:tblGrid>
      <w:tr>
        <w:trPr/>
        <w:tc>
          <w:tcPr>
            <w:tcW w:w="153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PricewaterhouseCoopers LLP, 300 Madison Avenue, </w:t>
            </w:r>
          </w:p>
        </w:tc>
      </w:tr>
      <w:tr>
        <w:trPr/>
        <w:tc>
          <w:tcPr>
            <w:tcW w:w="153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New York, NY 10017 </w:t>
            </w:r>
          </w:p>
        </w:tc>
      </w:tr>
      <w:tr>
        <w:trPr/>
        <w:tc>
          <w:tcPr>
            <w:tcW w:w="153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www.pwc.com</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(646) 471 3000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883</Words>
  <Characters>4754</Characters>
  <CharactersWithSpaces>5646</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