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ea0286432-01_n2a.htm"/>
      <w:bookmarkStart w:id="1" w:name="ksea028643201_n2a"/>
      <w:bookmarkEnd w:id="0"/>
      <w:bookmarkEnd w:id="1"/>
      <w:r>
        <w:rPr>
          <w:rFonts w:ascii="Times New Roman PS Std;serif" w:hAnsi="Times New Roman PS Std;serif"/>
          <w:b/>
          <w:i w:val="false"/>
          <w:caps w:val="false"/>
          <w:smallCaps w:val="false"/>
          <w:sz w:val="20"/>
        </w:rPr>
        <w:t>As filed with the Securities and Exchange Commission on April 16, 2026</w:t>
      </w:r>
    </w:p>
    <w:p>
      <w:pPr>
        <w:pStyle w:val="TextBody"/>
        <w:keepNext w:val="true"/>
        <w:pageBreakBefore w:val="false"/>
        <w:widowControl/>
        <w:pBdr/>
        <w:bidi w:val="0"/>
        <w:spacing w:before="2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Act File No. 333-290511</w:t>
      </w:r>
    </w:p>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40" w:after="283"/>
        <w:jc w:val="center"/>
        <w:rPr>
          <w:rFonts w:ascii="Times New Roman PS Std;serif" w:hAnsi="Times New Roman PS Std;serif"/>
          <w:b/>
          <w:i/>
          <w:caps w:val="false"/>
          <w:smallCaps w:val="false"/>
          <w:sz w:val="8"/>
        </w:rPr>
      </w:pPr>
      <w:r>
        <w:rPr>
          <w:rFonts w:ascii="Times New Roman PS Std;serif" w:hAnsi="Times New Roman PS Std;serif"/>
          <w:b/>
          <w:i/>
          <w:caps w:val="false"/>
          <w:smallCaps w:val="false"/>
          <w:sz w:val="8"/>
        </w:rPr>
        <w:t>____________________________________________________________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N-2</w:t>
      </w:r>
    </w:p>
    <w:p>
      <w:pPr>
        <w:pStyle w:val="TextBody"/>
        <w:keepNext w:val="false"/>
        <w:pageBreakBefore w:val="false"/>
        <w:widowControl/>
        <w:pBdr/>
        <w:bidi w:val="0"/>
        <w:spacing w:before="40" w:after="283"/>
        <w:jc w:val="center"/>
        <w:rPr>
          <w:rFonts w:ascii="Times New Roman PS Std;serif" w:hAnsi="Times New Roman PS Std;serif"/>
          <w:b/>
          <w:i/>
          <w:caps w:val="false"/>
          <w:smallCaps w:val="false"/>
          <w:sz w:val="8"/>
        </w:rPr>
      </w:pPr>
      <w:r>
        <w:rPr>
          <w:rFonts w:ascii="Times New Roman PS Std;serif" w:hAnsi="Times New Roman PS Std;serif"/>
          <w:b/>
          <w:i/>
          <w:caps w:val="false"/>
          <w:smallCaps w:val="false"/>
          <w:sz w:val="8"/>
        </w:rPr>
        <w:t>____________________________________________________________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w:t>
        <w:br/>
        <w:t>UNDER</w:t>
        <w:br/>
        <w:t>THE SECURITIES ACT OF 1933 ☒</w:t>
        <w:br/>
        <w:t>Pre-Effective Amendment No. 2 ☒</w:t>
        <w:br/>
        <w:t>Post-Effective Amendment No. ☐</w:t>
      </w:r>
    </w:p>
    <w:p>
      <w:pPr>
        <w:pStyle w:val="TextBody"/>
        <w:keepNext w:val="false"/>
        <w:pageBreakBefore w:val="false"/>
        <w:widowControl/>
        <w:pBdr/>
        <w:bidi w:val="0"/>
        <w:spacing w:before="40" w:after="283"/>
        <w:jc w:val="center"/>
        <w:rPr>
          <w:rFonts w:ascii="Times New Roman PS Std;serif" w:hAnsi="Times New Roman PS Std;serif"/>
          <w:b/>
          <w:i/>
          <w:caps w:val="false"/>
          <w:smallCaps w:val="false"/>
          <w:sz w:val="8"/>
        </w:rPr>
      </w:pPr>
      <w:r>
        <w:rPr>
          <w:rFonts w:ascii="Times New Roman PS Std;serif" w:hAnsi="Times New Roman PS Std;serif"/>
          <w:b/>
          <w:i/>
          <w:caps w:val="false"/>
          <w:smallCaps w:val="false"/>
          <w:sz w:val="8"/>
        </w:rPr>
        <w:t>____________________________________________________________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OXFORD SQUARE CAPITAL CORP.</w:t>
        <w:br/>
      </w:r>
      <w:r>
        <w:rPr>
          <w:rFonts w:ascii="Times New Roman PS Std;serif" w:hAnsi="Times New Roman PS Std;serif"/>
          <w:b w:val="false"/>
          <w:i w:val="false"/>
          <w:caps w:val="false"/>
          <w:smallCaps w:val="false"/>
          <w:sz w:val="20"/>
        </w:rPr>
        <w:t>(Exact Name of Registrant as Specified in Charter)</w:t>
      </w:r>
    </w:p>
    <w:p>
      <w:pPr>
        <w:pStyle w:val="TextBody"/>
        <w:keepNext w:val="false"/>
        <w:pageBreakBefore w:val="false"/>
        <w:widowControl/>
        <w:pBdr/>
        <w:bidi w:val="0"/>
        <w:spacing w:before="40" w:after="283"/>
        <w:jc w:val="center"/>
        <w:rPr>
          <w:rFonts w:ascii="Times New Roman PS Std;serif" w:hAnsi="Times New Roman PS Std;serif"/>
          <w:b/>
          <w:i/>
          <w:caps w:val="false"/>
          <w:smallCaps w:val="false"/>
          <w:sz w:val="8"/>
        </w:rPr>
      </w:pPr>
      <w:r>
        <w:rPr>
          <w:rFonts w:ascii="Times New Roman PS Std;serif" w:hAnsi="Times New Roman PS Std;serif"/>
          <w:b/>
          <w:i/>
          <w:caps w:val="false"/>
          <w:smallCaps w:val="false"/>
          <w:sz w:val="8"/>
        </w:rPr>
        <w:t>____________________________________________________________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br/>
        <w:t>Greenwich, CT 06830</w:t>
        <w:br/>
      </w:r>
      <w:r>
        <w:rPr>
          <w:rFonts w:ascii="Times New Roman PS Std;serif" w:hAnsi="Times New Roman PS Std;serif"/>
          <w:b w:val="false"/>
          <w:i w:val="false"/>
          <w:caps w:val="false"/>
          <w:smallCaps w:val="false"/>
          <w:sz w:val="20"/>
        </w:rPr>
        <w:t>(Address of Principal Executive Offices)</w:t>
      </w:r>
    </w:p>
    <w:p>
      <w:pPr>
        <w:pStyle w:val="TextBody"/>
        <w:keepNext w:val="fals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(203) 983-5275</w:t>
        <w:br/>
      </w:r>
      <w:r>
        <w:rPr>
          <w:rFonts w:ascii="Times New Roman PS Std;serif" w:hAnsi="Times New Roman PS Std;serif"/>
          <w:b w:val="false"/>
          <w:i w:val="false"/>
          <w:caps w:val="false"/>
          <w:smallCaps w:val="false"/>
          <w:sz w:val="20"/>
        </w:rPr>
        <w:t>(Registrant’s Telephone Number, including Area Code)</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br/>
        <w:t>Chief Executive Officer</w:t>
        <w:br/>
        <w:t>Oxford Square Capital Corp.</w:t>
        <w:br/>
        <w:t>8 Sound Shore Drive, Suite 255</w:t>
        <w:br/>
        <w:t>Greenwich, CT 06830</w:t>
        <w:br/>
      </w:r>
      <w:r>
        <w:rPr>
          <w:rFonts w:ascii="Times New Roman PS Std;serif" w:hAnsi="Times New Roman PS Std;serif"/>
          <w:b w:val="false"/>
          <w:i w:val="false"/>
          <w:caps w:val="false"/>
          <w:smallCaps w:val="false"/>
          <w:sz w:val="20"/>
        </w:rPr>
        <w:t>(Name and Address of Agent for Service)</w:t>
      </w:r>
    </w:p>
    <w:p>
      <w:pPr>
        <w:pStyle w:val="TextBody"/>
        <w:keepNext w:val="false"/>
        <w:pageBreakBefore w:val="false"/>
        <w:widowControl/>
        <w:pBdr/>
        <w:bidi w:val="0"/>
        <w:spacing w:before="0" w:after="283"/>
        <w:jc w:val="center"/>
        <w:rPr>
          <w:rFonts w:ascii="Times New Roman PS Std;serif" w:hAnsi="Times New Roman PS Std;serif"/>
          <w:b/>
          <w:i/>
          <w:caps w:val="false"/>
          <w:smallCaps w:val="false"/>
          <w:sz w:val="8"/>
        </w:rPr>
      </w:pPr>
      <w:r>
        <w:rPr>
          <w:rFonts w:ascii="Times New Roman PS Std;serif" w:hAnsi="Times New Roman PS Std;serif"/>
          <w:b/>
          <w:i/>
          <w:caps w:val="false"/>
          <w:smallCaps w:val="false"/>
          <w:sz w:val="8"/>
        </w:rPr>
        <w:t>____________________________________________________________</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COPIES TO:</w:t>
        <w:br/>
      </w:r>
      <w:r>
        <w:rPr>
          <w:rFonts w:ascii="Times New Roman PS Std;serif" w:hAnsi="Times New Roman PS Std;serif"/>
          <w:b/>
          <w:i w:val="false"/>
          <w:caps w:val="false"/>
          <w:smallCaps w:val="false"/>
          <w:sz w:val="20"/>
        </w:rPr>
        <w:t>Harry S. Pangas, Esq.</w:t>
        <w:br/>
        <w:t>Dechert LLP</w:t>
        <w:br/>
        <w:t>1900 K Street NW</w:t>
        <w:br/>
        <w:t>Washington, DC 20006</w:t>
        <w:br/>
        <w:t>Tel: (202) 261-3300</w:t>
        <w:br/>
        <w:t>Fax: (202) 261-3333</w:t>
      </w:r>
    </w:p>
    <w:p>
      <w:pPr>
        <w:pStyle w:val="TextBody"/>
        <w:keepNext w:val="false"/>
        <w:pageBreakBefore w:val="false"/>
        <w:widowControl/>
        <w:pBdr/>
        <w:bidi w:val="0"/>
        <w:spacing w:before="40" w:after="283"/>
        <w:jc w:val="center"/>
        <w:rPr>
          <w:rFonts w:ascii="Times New Roman PS Std;serif" w:hAnsi="Times New Roman PS Std;serif"/>
          <w:b/>
          <w:i/>
          <w:caps w:val="false"/>
          <w:smallCaps w:val="false"/>
          <w:sz w:val="8"/>
        </w:rPr>
      </w:pPr>
      <w:r>
        <w:rPr>
          <w:rFonts w:ascii="Times New Roman PS Std;serif" w:hAnsi="Times New Roman PS Std;serif"/>
          <w:b/>
          <w:i/>
          <w:caps w:val="false"/>
          <w:smallCaps w:val="false"/>
          <w:sz w:val="8"/>
        </w:rPr>
        <w:t>____________________________________________________________</w:t>
      </w:r>
    </w:p>
    <w:p>
      <w:pPr>
        <w:pStyle w:val="TextBody"/>
        <w:keepNext w:val="false"/>
        <w:pageBreakBefore w:val="false"/>
        <w:widowControl/>
        <w:pBdr/>
        <w:bidi w:val="0"/>
        <w:spacing w:before="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Approximate date of commencement of proposed public offering: </w:t>
      </w:r>
      <w:r>
        <w:rPr>
          <w:rFonts w:ascii="Times New Roman PS Std;serif" w:hAnsi="Times New Roman PS Std;serif"/>
          <w:b/>
          <w:i w:val="false"/>
          <w:caps w:val="false"/>
          <w:smallCaps w:val="false"/>
          <w:sz w:val="16"/>
        </w:rPr>
        <w:t>As soon as practicable after the effective date of this Registration Statement.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Check box if the only securities being registered on this Form are being offered pursuant to dividend or interest reinvestment plans.</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Check box if this Form is a registration statement pursuant to General Instruction A.2 or a post-effective amendment thereto.</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Check box if this Form is a registration statement pursuant to General Instruction B or a post-effective amendment thereto that will become effective upon filing with the Commission pursuant to Rule 462(e) under the Securities Act.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Check box if this Form is a post-effective amendment to a registration statement filed pursuant to General Instruction B to register additional securities or additional classes of securities pursuant to Rule 413(b) under the Securities Act.</w:t>
      </w:r>
    </w:p>
    <w:p>
      <w:pPr>
        <w:pStyle w:val="TextBody"/>
        <w:keepNext w:val="true"/>
        <w:pageBreakBefore w:val="false"/>
        <w:widowControl/>
        <w:pBdr/>
        <w:bidi w:val="0"/>
        <w:spacing w:before="20" w:after="283"/>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It is proposed that this filing will become effective (check appropriate box):</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when declared effective pursuant to Section 8(c) of the Securities Act.</w:t>
      </w:r>
    </w:p>
    <w:p>
      <w:pPr>
        <w:pStyle w:val="TextBody"/>
        <w:keepNext w:val="true"/>
        <w:pageBreakBefore w:val="false"/>
        <w:widowControl/>
        <w:pBdr/>
        <w:bidi w:val="0"/>
        <w:spacing w:before="20" w:after="283"/>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If appropriate, check the following box:</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This [post-effective] amendment designates a new effective date for a previously filed [post-effective amendment] [registration statement].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This Form is filed to register additional securities for an offering pursuant to Rule 462(b) under the Securities Act, and the Securities Act registration statement number of the earlier effective registration statement for the same offering is:            .</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This Form is a post-effective amendment filed pursuant to Rule 462(c) under the Securities Act, and the Securities Act registration statement number of the earlier effective registration statement for the same offering is:            .</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This Form is a post-effective amendment filed pursuant to Rule 462(d) under the Securities Act, and the Securities Act registration statement number of the earlier effective registration statement for the same offering is:            .</w:t>
      </w:r>
    </w:p>
    <w:p>
      <w:pPr>
        <w:pStyle w:val="TextBody"/>
        <w:keepNext w:val="true"/>
        <w:pageBreakBefore w:val="false"/>
        <w:widowControl/>
        <w:pBdr/>
        <w:bidi w:val="0"/>
        <w:spacing w:before="20" w:after="283"/>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Check each box that appropriately characterizes the Registrant: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Registered Closed-End Fund (closed-end company that is registered under the Investment Company Act of 1940 (“Investment Company Act”)).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Business Development Company (closed-end company that intends or has elected to be regulated as a business development company under the Investment Company Act).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Interval Fund (Registered Closed-End Fund or a Business Development Company that makes periodic repurchase offers under Rule 23c-3 under the Investment Company Act).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A.2 Qualified (qualified to register securities pursuant to General Instruction A.2 of this Form).</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Well-Known Seasoned Issuer (as defined by Rule 405 under the Securities Act).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Emerging Growth Company (as defined by Rule 12b-2 under the Securities Exchange Act of 1934 (“Exchange Act”).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If an Emerging Growth Company, indicate by check mark if the Registrant has elected not to use the extended transition period for complying with any new or revised financial accounting standards provided pursuant to Section 7(a)(2)(B) of Securities Act.</w:t>
      </w:r>
    </w:p>
    <w:p>
      <w:pPr>
        <w:pStyle w:val="TextBody"/>
        <w:keepNext w:val="false"/>
        <w:pageBreakBefore w:val="false"/>
        <w:widowControl/>
        <w:pBdr/>
        <w:bidi w:val="0"/>
        <w:spacing w:before="20" w:after="283"/>
        <w:ind w:left="0" w:right="0" w:firstLine="480"/>
        <w:jc w:val="both"/>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16"/>
        </w:rPr>
        <w:t>New Registrant (registered or regulated under the Investment Company Act for less than 12 calendar months preceding this filing).</w:t>
      </w:r>
    </w:p>
    <w:p>
      <w:pPr>
        <w:pStyle w:val="TextBody"/>
        <w:keepNext w:val="false"/>
        <w:pageBreakBefore w:val="false"/>
        <w:widowControl/>
        <w:pBdr/>
        <w:bidi w:val="0"/>
        <w:spacing w:before="2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pStyle w:val="TextBody"/>
        <w:keepNext w:val="false"/>
        <w:pageBreakBefore w:val="false"/>
        <w:widowControl/>
        <w:pBdr/>
        <w:bidi w:val="0"/>
        <w:spacing w:before="60" w:after="283"/>
        <w:ind w:left="0" w:right="0" w:firstLine="48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16"/>
        </w:rPr>
      </w:pPr>
      <w:r>
        <w:rPr>
          <w:rFonts w:ascii="Times New Roman PS Std;serif" w:hAnsi="Times New Roman PS Std;serif"/>
          <w:b/>
          <w:i w:val="false"/>
          <w:caps w:val="false"/>
          <w:smallCaps w:val="false"/>
          <w:color w:val="D2232A"/>
          <w:sz w:val="16"/>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color w:val="D2232A"/>
          <w:sz w:val="20"/>
        </w:rPr>
      </w:pPr>
      <w:r>
        <w:rPr>
          <w:rFonts w:ascii="Times New Roman PS Std;serif" w:hAnsi="Times New Roman PS Std;serif"/>
          <w:b/>
          <w:i w:val="false"/>
          <w:caps/>
          <w:color w:val="D2232A"/>
          <w:sz w:val="20"/>
        </w:rPr>
        <w:t>SUBJECT TO COMPLETION DATED APRIL 16, 2026</w:t>
      </w:r>
    </w:p>
    <w:p>
      <w:pPr>
        <w:pStyle w:val="TextBody"/>
        <w:keepNext w:val="true"/>
        <w:pageBreakBefore w:val="false"/>
        <w:widowControl/>
        <w:pBdr/>
        <w:bidi w:val="0"/>
        <w:spacing w:before="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80" w:after="283"/>
        <w:jc w:val="center"/>
        <w:rPr>
          <w:caps w:val="false"/>
          <w:smallCaps w:val="false"/>
        </w:rPr>
      </w:pPr>
      <w:r>
        <w:rPr>
          <w:caps w:val="false"/>
          <w:smallCaps w:val="false"/>
        </w:rPr>
        <w:drawing>
          <wp:inline distT="0" distB="0" distL="0" distR="0">
            <wp:extent cx="714375" cy="929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929640"/>
                    </a:xfrm>
                    <a:prstGeom prst="rect">
                      <a:avLst/>
                    </a:prstGeom>
                  </pic:spPr>
                </pic:pic>
              </a:graphicData>
            </a:graphic>
          </wp:inline>
        </w:drawing>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$300,000,000</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Oxford Square Capital Corp.</w:t>
        <w:br/>
      </w:r>
      <w:r>
        <w:rPr>
          <w:rFonts w:ascii="Times New Roman PS Std;serif" w:hAnsi="Times New Roman PS Std;serif"/>
          <w:b/>
          <w:i w:val="false"/>
          <w:caps w:val="false"/>
          <w:smallCaps w:val="false"/>
          <w:sz w:val="24"/>
        </w:rPr>
        <w:t>Common Stock</w:t>
      </w:r>
    </w:p>
    <w:tbl>
      <w:tblPr>
        <w:tblW w:w="4213" w:type="dxa"/>
        <w:jc w:val="left"/>
        <w:tblInd w:w="0" w:type="dxa"/>
        <w:tblLayout w:type="fixed"/>
        <w:tblCellMar>
          <w:top w:w="0" w:type="dxa"/>
          <w:left w:w="0" w:type="dxa"/>
          <w:bottom w:w="0" w:type="dxa"/>
          <w:right w:w="0" w:type="dxa"/>
        </w:tblCellMar>
      </w:tblPr>
      <w:tblGrid>
        <w:gridCol w:w="2236"/>
        <w:gridCol w:w="146"/>
        <w:gridCol w:w="1831"/>
      </w:tblGrid>
      <w:tr>
        <w:trPr/>
        <w:tc>
          <w:tcPr>
            <w:tcW w:w="2236" w:type="dxa"/>
            <w:tcBorders/>
            <w:vAlign w:val="bottom"/>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ableContents"/>
              <w:keepNext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Subscription Rights</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Securities</w:t>
            </w:r>
          </w:p>
          <w:p>
            <w:pPr>
              <w:pStyle w:val="TableContents"/>
              <w:keepNext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tc>
      </w:tr>
    </w:tbl>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We operate as a closed-end management investment company and have elected to be regulated as a business development company, or “BDC,” under the Investment Company Act of 1940, as amended, or the “1940 Act.” Our investment objective is to maximize our portfolio’s total return. Our primary current focus is to seek an attractive risk-adjusted total return by investing primarily in corporate debt securities and, to a lesser extent, in collateralized loan obligations (“CLO”), which are structured finance investments that own corporate debt securities. CLO investments may also include warehouse facilities, which are early-stage CLO vehicles intended to aggregate loans that may be used to form the basis of a traditional CLO vehicle. We may also invest in publicly traded debt and/or equity securities. </w:t>
      </w:r>
      <w:r>
        <w:rPr>
          <w:rFonts w:ascii="Times New Roman PS Std;serif" w:hAnsi="Times New Roman PS Std;serif"/>
          <w:b/>
          <w:i w:val="false"/>
          <w:caps w:val="false"/>
          <w:smallCaps w:val="false"/>
          <w:sz w:val="16"/>
        </w:rPr>
        <w:t>The portfolio companies in which we invest, however, will generally be considered below investment grade, and their debt securities may in turn be referred to as “junk.” A portion of our investment portfolio may consist of debt investments for which issuers are not required to make significant principal payments until the maturity of the senior loans, which could result in a substantial loss to us if such issuers are unable to refinance or repay their debt at maturity. In addition, many of the debt securities we hold typically contain interest reset provisions that may make it more difficult for a borrower to repay the loan, heightening the risk that we may lose all or part of our investment. The CLO vehicles in which we invest are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and, to a limited extent, subordinated and/or unsecured loans and bonds. Below investment grade securities, such as the CLO securities in which we primarily intend to invest, are often referred to as “junk.”</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We may offer, from time to time, in one or more offerings or series, up to $300,000,000 of our common stock, preferred stock, debt securities, subscription rights to purchase shares of our common stock, or warrants representing rights to purchase shares of our common stock, preferred stock or debt securities, which we refer to, collectively, as our “securities.” The preferred stock, subscription rights, warrants and debt securities offered hereby may be convertible or exchangeable into shares of our common stock. The securities may be offered at prices and on terms to be described in one or more supplements to this prospectus.</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common stockholders or (iii) under such other circumstances as the Securities and Exchange Commission, or the “SEC,” may permit.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Our securities may be offered directly to one or more purchasers, or through agents designated from time to time by us, or to or through underwriters or dealers. Each prospectus supplement relating to an offering will identify any agents or underwriters involved in the sale of our securities, and will disclose any applicable purchase price, fee, discount or commissions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Our common stock is traded on the Nasdaq Global Select Market under the symbol “OXSQ.” On April 14, 2026, the last reported sales price on the Nasdaq Global Select Market for our common stock was $1.91 per share. On December 31, 2025, our net asset value was $1.69 per share.</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Our 5.50% Unsecured Notes due 2028 (the “5.50% Unsecured Notes”) are currently listed on the NASDAQ Global Select Market under the symbol “OXSQG”. The reported closing price for our 5.50% Unsecured Notes on April 14, 2026 was $23.93 per note.</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Our 7.75% Unsecured Notes due 2030 (the “7.75% Unsecured Notes”) are currently listed on the NASDAQ Global Select Market under the symbol “OXSQH”. The reported closing price for our 7.75% Unsecured Notes on April 14, 2026 was $25.20 per note.</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Investing in our securities involves a high degree of risk, including credit risk, the risk of the use of leverage and the risk of dilution, and is highly speculative. In addition, shares of closed-end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investment companies, including BDCs, frequently trade at a discount to their net asset values. If our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7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w:t>
      </w:r>
      <w:r>
        <w:rPr>
          <w:rFonts w:ascii="Times New Roman PS Std;serif" w:hAnsi="Times New Roman PS Std;serif"/>
          <w:b w:val="false"/>
          <w:i/>
          <w:caps w:val="false"/>
          <w:smallCaps w:val="false"/>
          <w:sz w:val="16"/>
        </w:rPr>
        <w:t>http://www.sec.gov</w:t>
      </w:r>
      <w:r>
        <w:rPr>
          <w:rFonts w:ascii="Times New Roman PS Std;serif" w:hAnsi="Times New Roman PS Std;serif"/>
          <w:b w:val="false"/>
          <w:i w:val="false"/>
          <w:caps w:val="false"/>
          <w:smallCaps w:val="false"/>
          <w:sz w:val="16"/>
        </w:rPr>
        <w:t>), which is available free of charge by contacting Oxford Square Capital Corp. at 8 Sound Shore Drive, Suite 255, Greenwich, CT 06830 or by telephone at (203) 983-5275, or by visiting our website (</w:t>
      </w:r>
      <w:r>
        <w:rPr>
          <w:rFonts w:ascii="Times New Roman PS Std;serif" w:hAnsi="Times New Roman PS Std;serif"/>
          <w:b w:val="false"/>
          <w:i/>
          <w:caps w:val="false"/>
          <w:smallCaps w:val="false"/>
          <w:sz w:val="16"/>
        </w:rPr>
        <w:t>www.oxfordsquarecapital.com</w:t>
      </w:r>
      <w:r>
        <w:rPr>
          <w:rFonts w:ascii="Times New Roman PS Std;serif" w:hAnsi="Times New Roman PS Std;serif"/>
          <w:b w:val="false"/>
          <w:i w:val="false"/>
          <w:caps w:val="false"/>
          <w:smallCaps w:val="false"/>
          <w:sz w:val="16"/>
        </w:rPr>
        <w:t>). The information found on, or otherwise accessible through, our website is not incorporated into, and does not form a part of this prospectus or any other report or document we file with or furnish to the SEC.</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Neither the SEC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This prospectus may not be used to consummate sales of securities unless accompanied by a prospectus supplement.</w:t>
      </w:r>
    </w:p>
    <w:p>
      <w:pPr>
        <w:pStyle w:val="TextBody"/>
        <w:keepNext w:val="false"/>
        <w:pageBreakBefore w:val="false"/>
        <w:widowControl/>
        <w:pBdr/>
        <w:bidi w:val="0"/>
        <w:spacing w:before="4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16"/>
        </w:rPr>
        <w:t>,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9">
              <w:r>
                <w:rPr>
                  <w:rStyle w:val="InternetLink"/>
                  <w:rFonts w:ascii="Times New Roman PS Std;serif" w:hAnsi="Times New Roman PS Std;serif"/>
                  <w:b w:val="false"/>
                  <w:i w:val="false"/>
                  <w:caps w:val="false"/>
                  <w:smallCaps w:val="false"/>
                  <w:sz w:val="20"/>
                </w:rPr>
                <w:t xml:space="preserve">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8">
              <w:r>
                <w:rPr>
                  <w:rStyle w:val="InternetLink"/>
                  <w:rFonts w:ascii="Times New Roman PS Std;serif" w:hAnsi="Times New Roman PS Std;serif"/>
                  <w:b w:val="false"/>
                  <w:i w:val="false"/>
                  <w:caps w:val="false"/>
                  <w:smallCaps w:val="false"/>
                  <w:sz w:val="20"/>
                </w:rPr>
                <w:t xml:space="preserve">FEES AND EXPENSES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7">
              <w:r>
                <w:rPr>
                  <w:rStyle w:val="InternetLink"/>
                  <w:rFonts w:ascii="Times New Roman PS Std;serif" w:hAnsi="Times New Roman PS Std;serif"/>
                  <w:b w:val="false"/>
                  <w:i w:val="false"/>
                  <w:caps w:val="false"/>
                  <w:smallCaps w:val="false"/>
                  <w:sz w:val="20"/>
                </w:rPr>
                <w:t xml:space="preserve">FINANCIAL HIGHLIGHTS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6">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5">
              <w:r>
                <w:rPr>
                  <w:rStyle w:val="InternetLink"/>
                  <w:rFonts w:ascii="Times New Roman PS Std;serif" w:hAnsi="Times New Roman PS Std;serif"/>
                  <w:b w:val="false"/>
                  <w:i w:val="false"/>
                  <w:caps w:val="false"/>
                  <w:smallCaps w:val="false"/>
                  <w:sz w:val="20"/>
                </w:rPr>
                <w:t xml:space="preserve">CAUTIONARY STATEMENT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5">
              <w:r>
                <w:rPr>
                  <w:rStyle w:val="InternetLink"/>
                  <w:rFonts w:ascii="Times New Roman PS Std;serif" w:hAnsi="Times New Roman PS Std;serif"/>
                  <w:b w:val="false"/>
                  <w:i w:val="false"/>
                  <w:caps w:val="false"/>
                  <w:smallCaps w:val="false"/>
                  <w:sz w:val="20"/>
                </w:rPr>
                <w:t xml:space="preserve">PRICE RANGE OF COMMON STOCK AND DISTRIBUTIONS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76">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 xml:space="preserve">SENIOR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 xml:space="preserve">PORTFOLIO COMPANIES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 xml:space="preserve">PORTFOLIO 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MANAGEMENT AND OTHER AGREEMENTS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RELATED-PARTY TRANSACTIONS AND CERTAIN RELATIONSHIPS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CONTROL PERSONS AND PRINCIPAL SHAREHOLDERS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DETERMINATION OF NET ASSET VALUE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DISTRIBUTION REINVESTMENT PLAN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77">
              <w:r>
                <w:rPr>
                  <w:rStyle w:val="InternetLink"/>
                  <w:rFonts w:ascii="Times New Roman PS Std;serif" w:hAnsi="Times New Roman PS Std;serif"/>
                  <w:b w:val="false"/>
                  <w:i w:val="false"/>
                  <w:caps w:val="false"/>
                  <w:smallCaps w:val="false"/>
                  <w:sz w:val="20"/>
                </w:rPr>
                <w:t xml:space="preserve">CERTAIN U.S. FEDERAL INCOME TAX CONSIDERATIONS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DESCRIPTION OF SECURITIES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DESCRIPTION OF OUR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DESCRIPTION OF OUR PREFERRED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DESCRIPTION OF OUR SUBSCRIPTION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DESCRIPTION OF OUR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DESCRIPTION OF OUR DEBT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REGULATION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CUSTODIAN, TRANSFER AND DISTRIBUTION PAYING AGENT AND REGISTRAR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BROKERAGE ALLOCATION AND OTHER PRACTICES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AVAILABLE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that we have filed with the SEC, using the “shelf” registration process. Under this shelf registration statement, we may offer, from time to time, in one or more offerings, up to $300,000,000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that could cause results to differ materially from those expressed in these publications and reports.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 PS Std;serif" w:hAnsi="Times New Roman PS Std;serif"/>
          <w:b w:val="false"/>
          <w:i/>
          <w:caps w:val="false"/>
          <w:smallCaps w:val="false"/>
          <w:sz w:val="20"/>
        </w:rPr>
        <w:t>Available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29"/>
      <w:bookmarkEnd w:id="3"/>
      <w:r>
        <w:rPr>
          <w:rFonts w:ascii="Times New Roman PS Std;serif" w:hAnsi="Times New Roman PS Std;serif"/>
          <w:b/>
          <w:i w:val="false"/>
          <w:caps w:val="false"/>
          <w:smallCaps w:val="false"/>
          <w:sz w:val="20"/>
          <w:bdr w:val="single" w:sz="8" w:space="10" w:color="000000"/>
        </w:rPr>
        <w:t xml:space="preserve">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Except where the context requires otherwise, the terms “OXSQ,” “Company,” “we,” “us” and “our” refer to Oxford Square Capital Corp.; “Oxford Square Management” refers to Oxford Square Management, LLC; and “Oxford Funds” refers to Oxford Funds, LLC.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operate as a closed-end management investment company that has elected to be regulated as a business development company (“BDC”) under the Investment Company Act of 1940, as amended (the “1940 Act”). We have elected to be treated for tax purposes as a regulated investment company (“RIC”) under Subchapter M of the Internal Revenue Code of 1986, as amended (the “Code”) beginning with our 2003 taxable year. Our investment objective is to maximize our portfolio’s total return. Our primary current focus is to seek an attractive risk-adjusted total return by investing primarily in corporate debt securities and, to a lesser extent, in collateralized loan obligation (“CLO”) structured finance investments that own corporate debt securities. CLO investments may also include warehouse facilities, which are early-stage CLO vehicles intended to aggregate loans that may be used to form the basis of a traditional CLO vehicle. We may also invest in publicly traded debt and/or equity securities. As a BDC, we may not acquire any asset other than “qualifying assets” unless, at the time we make the acquisition, the value of our qualifying assets represents at least 70% of the value of our total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capital is generally used by our corporate borrowers to finance organic growth, acquisitions, recapitalizations and working capital. Our investment decisions are based on extensive analysis of potential portfolio companies’ business operations supported by an in-depth understanding of the quality of their recurring revenues and cash flow, variability of costs and the inherent value of their assets, including proprietary intangible assets and intellectual property. In making our CLO investments, we consider the indenture structure for that vehicle, its operating characteristics and compliance with its various indenture provisions, as well as its corporate loan-based collateral pool.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generally expect to invest between $5.0 million and $25.0 million in each of our portfolio investments, although this investment size may vary as the size of our capital base changes and market conditions warrant. We invest in both fixed and variable interest rate structures. We expect that our investment portfolio will be diversified among a large number of investments with few investments, if any, exceeding 5% of the total portfolio.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structures of our investments will vary and we seek to invest across a wide range of different industries. We seek to invest in entities that, as a general matter, have been operating for at least one year prior to the date of our investment and that will, at the time of our investment, have employees and revenues, and which are cash flow positive. Many of these companies are expected to have financial backing provided by other financial or strategic sponsors at the time we make an investment. The portfolio companies in which we invest, however, will generally be considered below investment grade, and their debt securities may in turn be referred to as “junk.” A portion of our investment portfolio may consist of debt investments for which issuers are not required to make significant principal payments until the maturity of the senior loans, which could result in a substantial loss to us if such issuers are unable to refinance or repay their debt at maturity. In addition, many of the debt securities we hold typically contain interest reset provisions that may make it more difficult for a borrower to repay the loan, heightening the risk that we may lose all or part of our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also purchase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and, to a limited extent, subordinated and/or unsecured loans and bonds.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historically borrowed funds to make investments and may continue to do so.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advisory fee payable to Oxford Square Management, will be borne by our common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“Business” in Part I, Item 1 in our most recent Annual Report on Form 10-K for additional information about us and our investment adviser, Oxford Square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5.50% Unsecured Notes due 2028 (the “5.50% Unsecured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May 20, 2021, we completed an underwritten public offering of approximately $80.5 million in aggregate principal amount of the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7.75% Unsecured Notes (the “7.75% Unsecured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7, 2025, we completed an underwritten public offering of approximately $74.8 million in aggregate principal amount of the 7.75% Unsecured Notes. The 7.75% Unsecured Notes will mature on July 31, 2030, and may be redeemed in whole or in part at any time or from time to time at our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ATM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22, 2023, we entered into Amendment No. 1 to the Equity Distribution Agreement dated August 1, 2019 with Ladenburg Thalmann &amp; Co. through which we may offer for sale, from time to time, up to $150.0 million of our common stock through an At-the-Market (“ATM”) offering. On August 16, 2024, we entered into an amended and restated equity distribution agreement (the “Amended and Restated Equity Distribution Agreement”) with Lucid Capital Markets, LLC and Ladenburg Thalmann &amp; Co. Inc., as the sales agents, to add Lucid Capital Markets, LLC as an additional sales agent to the Amended and Restated Equity Distribution Agreement. From August 1, 2019 to April 8, 2026, we sold a total of 37,794,797 shares of common stock pursuant to the ATM offering. The total amount of capital raised as a result of these sales of common stock was approximately $96.0 million and net proceeds were approximately $94.1 million after deducting the sales agent’s commissions and offering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Organizational and Regulatory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investment activities are managed by Oxford Square Management. Oxford Square Management is an investment adviser registered under the Investment Advisers Act of 1940, as amended (the “Advisers Act”). Oxford Square Management is owned by Oxford Funds, its managing member, and Charles M. Royce, a member of our Board of Directors who holds a minority, non-controlling interest in Oxford Square Management. Jonathan H. Cohen, our Chief Executive Officer, and Saul B. Rosenthal, our President and Chief Operating Officer, directly or indirectly own or control all of the outstanding equity interests of Oxford Funds. Under the investment advisory agreement (the “Investment Advisory Agreement”), we have agreed to pay Oxford Square Management an annual base advisory fee based on our gross assets as well as an incentive fee based on our performance. See “Management and Other Agreements”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were founded in July 2003 and completed an initial public offering of shares of our common stock in November 2003. We are a Maryland corporation and a closed-end management investment company that has elected to be regulated as a BDC under the 1940 Act. As a BDC, we are required to meet certain regulatory tests, including the requirement to invest at least 70% of our total assets in eligible portfolio companies. See “Item 1. Business — Regulation as a Business Development Company” in our most recent Annual Report on Form 10-K. In addition, we have elected to be treated for U.S. federal income tax purposes, and intend to qualify annually, as a RIC under Subchapter M of the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Set forth below is a chart detailing our organizational structure as of December 31, 2025.</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4238625" cy="1981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38625" cy="198120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headquarters are located at 8 Sound Shore Drive, Suite 255, Greenwich, Connecticut and our telephone number is (203) 983-5275.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Where You Can Find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filed with the SEC a registration statement on Form N-2 together with all amendments and related exhibits under the Securities Act of 1933, as amended, or the “Securities Act.” The registration statement contains additional information about us and the securities being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file annual, quarterly and current reports, proxy statements and other information with the SEC under the Securities Exchange Act of 1934, as amended (the “Exchange Act”). The information we file with the SEC is available free of charge by contacting us at 8 Sound Shore Drive, Suite 255, Greenwich, CT 06830, by telephone at (203) 983-5275 or on our website at </w:t>
      </w:r>
      <w:r>
        <w:rPr>
          <w:rFonts w:ascii="Times New Roman PS Std;serif" w:hAnsi="Times New Roman PS Std;serif"/>
          <w:b w:val="false"/>
          <w:i/>
          <w:caps w:val="false"/>
          <w:smallCaps w:val="false"/>
          <w:sz w:val="20"/>
          <w:bdr w:val="single" w:sz="8" w:space="10" w:color="000000"/>
        </w:rPr>
        <w:t>www.oxfordsquarecapital.com</w:t>
      </w:r>
      <w:r>
        <w:rPr>
          <w:rFonts w:ascii="Times New Roman PS Std;serif" w:hAnsi="Times New Roman PS Std;serif"/>
          <w:b w:val="false"/>
          <w:i w:val="false"/>
          <w:caps w:val="false"/>
          <w:smallCaps w:val="false"/>
          <w:sz w:val="20"/>
          <w:bdr w:val="single" w:sz="8" w:space="10" w:color="000000"/>
        </w:rPr>
        <w:t>. Information contained on our website or on the SEC’s web site about us is not incorporated into this prospectus and you should not consider information contained on our website or on the SEC’s website to be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4" w:name="T28"/>
      <w:bookmarkEnd w:id="4"/>
      <w:r>
        <w:rPr>
          <w:rFonts w:ascii="Times New Roman PS Std;serif" w:hAnsi="Times New Roman PS Std;serif"/>
          <w:b/>
          <w:i w:val="false"/>
          <w:caps w:val="false"/>
          <w:smallCaps w:val="false"/>
          <w:sz w:val="20"/>
          <w:bdr w:val="single" w:sz="8" w:space="10" w:color="000000"/>
        </w:rPr>
        <w:t xml:space="preserve">FEES AND EXPENSES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prospectus contains a reference to fees or expenses paid by “us” or “OXSQ,” or that “we” will pay fees or expenses, you will indirectly bear such fees or expenses as an investor in OXSQ.</w:t>
      </w:r>
    </w:p>
    <w:tbl>
      <w:tblPr>
        <w:tblW w:w="10205" w:type="dxa"/>
        <w:jc w:val="left"/>
        <w:tblInd w:w="0" w:type="dxa"/>
        <w:tblLayout w:type="fixed"/>
        <w:tblCellMar>
          <w:top w:w="0" w:type="dxa"/>
          <w:left w:w="0" w:type="dxa"/>
          <w:bottom w:w="0" w:type="dxa"/>
          <w:right w:w="0" w:type="dxa"/>
        </w:tblCellMar>
      </w:tblPr>
      <w:tblGrid>
        <w:gridCol w:w="8722"/>
        <w:gridCol w:w="146"/>
        <w:gridCol w:w="676"/>
        <w:gridCol w:w="661"/>
      </w:tblGrid>
      <w:tr>
        <w:trPr/>
        <w:tc>
          <w:tcPr>
            <w:tcW w:w="87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transaction expenses: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7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load (as a percentage of offering price)</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7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expenses borne by our common stockholders (as a percentage of offering price)</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87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reinvestment plan expenses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c>
          <w:tcPr>
            <w:tcW w:w="66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r>
      <w:tr>
        <w:trPr/>
        <w:tc>
          <w:tcPr>
            <w:tcW w:w="87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 transaction expenses (as a percentage of offering price)</w:t>
            </w:r>
          </w:p>
        </w:tc>
        <w:tc>
          <w:tcPr>
            <w:tcW w:w="146" w:type="dxa"/>
            <w:tcBorders/>
            <w:shd w:fill="CCEEFF" w:val="clear"/>
            <w:vAlign w:val="bottom"/>
          </w:tcPr>
          <w:p>
            <w:pPr>
              <w:pStyle w:val="TableContents"/>
              <w:bidi w:val="0"/>
              <w:spacing w:before="0" w:after="283"/>
              <w:jc w:val="left"/>
              <w:rPr/>
            </w:pPr>
            <w:r>
              <w:rPr/>
              <w:t> </w:t>
            </w:r>
          </w:p>
        </w:tc>
        <w:tc>
          <w:tcPr>
            <w:tcW w:w="6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8698"/>
        <w:gridCol w:w="146"/>
        <w:gridCol w:w="706"/>
        <w:gridCol w:w="655"/>
      </w:tblGrid>
      <w:tr>
        <w:trPr/>
        <w:tc>
          <w:tcPr>
            <w:tcW w:w="86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expenses (as a percentage of net assets attributable to our common stock):</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6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management fee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6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86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Incentive fees payable under our investment advisory agreement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86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payments on borrowed funds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w:t>
            </w:r>
          </w:p>
        </w:tc>
        <w:tc>
          <w:tcPr>
            <w:tcW w:w="6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86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6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86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annual expenses</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w:t>
            </w:r>
          </w:p>
        </w:tc>
        <w:tc>
          <w:tcPr>
            <w:tcW w:w="6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In the event that the securities to which this prospectus relates are sold to or through underwriters, a corresponding prospectus supplement will disclose the applicable sales load and the “Example” will be updated accordingly.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The prospectus supplement corresponding to each offering will disclose the applicable offering expenses and total stockholder transaction expenses as a percentage of the offering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(3)      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(4)      Assumes gross assets (which equals the total assets on our Statements of Assets and Liabilities as of December 31, 2025 adjusted as described in this footnote) of $356.7 million and $155.3 million of leverage (including $80.5 million in aggregate principal of our 5.50% Unsecured Notes and $74.8 million in aggregate principal of our 7.75% Unsecured Notes, in each case, as of December 31, 2025, and less any respective amortization of deferred issuance costs), and assumes net assets of $195.4 million (which has been adjusted to reflect the net issuance of an additional $50.0 million of common stock). For purposes of this table, the SEC requires our base management fee to be calculated as a percentage of our net assets. Our base management fee under the Investment Advisory Agreement, however, is based on our gross assets, which is defined as all the assets of Oxford Square Capital Corp., including those acquired using borrowings for investment purposes. As a result, to the extent we use additional leverage, it would have the effect of increasing our base management fee as a percentage of our net assets. See “Management and Other Agreements” in this prospectus for additional information.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xml:space="preserve">(5)     Assumes no annual incentive fees earned by Oxford Square Management. Oxford Square Management did not earn incentive fees during the year ended December 31, 2025 due to the Total Return Requirement (as defined below). In subsequent periods, incentive fees may be earned by Oxford Square Management if, and to the extent that, we earn greater investment income through our investments in portfolio companies and realize additional gains upon the sale of investments in such companies. The incentive fee consists of two parts. The first part, which is payable quarterly in arrears, equals the amount by which (x) the “Pre-Incentive Fee Net Investment Income” for the immediately preceding calendar quarter exceeds (y) the “Preferred Return Amount” for that calendar quarter. Effective April 1, 2016, a “Preferred Return Amount” is calculated on a quarterly basis by multiplying 1.75% by the Company’s net asset value at the end of the immediately preceding calendar quarter. The net investment income incentive fee is then calculated as follows: (a) no net investment income incentive fee is payable to Oxford Square Management in any calendar quarter in which the “Pre-Incentive Fee Net Investment Income” does not exceed the “Preferred Return Amount”; (b) 100% of the “Pre-Incentive Fee Net Investment Income” for such quarter, if any, that exceeds the “Preferred Return Amount” but is less than or equal to a “Catch-Up Amount” determined on a quarterly basis by multiplying 2.1875% by OXSQ’s net asset value at the end of such calendar quarter; and (c) for any quarter in which the “Pre-Incentive Fee Net Investment Income” exceeds the “Catch-Up Amount,” the net investment income incentive fee will be 20% of the amount of the “Pre-Incentive Fee Net Investment Income” for such quarter. In addition, effective April 1, 2016, the calculation of the Company’s net investment income incentive fee is subject to a total return requirement, (the “Total Return Requirement”) which provides that a net investment income incentive fee will not be payable to Oxford Square Management except to the extent 20% of the “cumulative net increase in net assets resulting from operations” (which is the amount, if positive, of the sum of the “Pre-Incentive Fee Net Investment Income,” realized gains and losses and unrealized appreciation and depreciation) during the calendar quarter for which such fees are being calculated and the eleven(11) preceding quarters exceeds the cumulative net investment income incentive fees accrued and/or paid for such eleven(11) preceding quarters. The second part of the incentive fee equals 20.0% of our net realized capital gains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the calendar year less any unrealized losses for such year and will be payable at the end of each calendar year. It should be noted that no capital gains incentive fee was calculated as of December 31, 2025, which is calculated based upon an assumed liquidation of the entire portfolio, and no other changes in realized or unrealized gains and losses, as of December 31, 2025 and the termination of the Investment Advisory Agreement on such date. For a more detailed discussion of the calculation of the incentive fees, see “Investment Advisory Agreement” in this prospectus.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(6)      Assumes that we have $155.3 million of outstanding principal borrowings as of December 31, 2025. The calculation also assumes an effective interest rate of 5.98% (including amortization of deferred issuance costs) on the approximately $80.5 million of 5.50% Unsecured Notes outstanding as of December 31, 2025 and an effective interest rate of 8.52% (including amortization of deferred issuance costs) on the approximately $74.8 million of 7.75% Unsecured Notes outstanding as of December 31, 2025. This table includes all of the commitment fees, interest expense and amortized financing costs of 5.50% Unsecured Notes and 7.75% Unsecured Notes, as well as the fees and expenses of issuing and servicing any other borrowings or leverage that the Company expects to incur during the 12 months following the effectiveness of such registration statement of which this prospectus forms a part. We may issue preferred stock, which may be considered a form of leverage, pursuant to the registration statement of which the prospectus forms a part, although we have no current plans to do so during the 12 months following effectiveness of such registration statement of which this prospectus forms a part.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(7)      “Other expenses” is based on the actual expenses for the year ended December 31, 2025, and adjusted for any new and non-recurring expenses, such as an assumed issuance of an additional $50.0 million of common stock. These expenses include certain expenses allocated to the Company under the Investment Advisory Agreement. In the event of a debt restructuring or extinguishment, we may incur a loss comprised of deferred financing costs which may cause actual expenses to exceed those amounts projected in the table.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(8)      “Total annual expenses” is presented as a percentage of net assets attributable to common stockholders, because the holders of shares of our common stock (and not the holders of our debt securities or preferred stock, if any) bear all of our fees and expenses. The indirect expenses associated with the Company’s CLO equity investments are not included in the fee table presentation, but if such expenses were included in the fee table presentation then OXSQ’s total annual expenses would have been 16.67%.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Example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example demonstrates the projected dollar amount of total cumulative expenses that would be incurred over various periods with respect to a hypothetical investment in our common stock. In calculating the following expense amounts, we have assumed that our operating expenses would remain at the levels set forth in the table above.</w:t>
      </w:r>
    </w:p>
    <w:tbl>
      <w:tblPr>
        <w:tblW w:w="10205" w:type="dxa"/>
        <w:jc w:val="left"/>
        <w:tblInd w:w="0" w:type="dxa"/>
        <w:tblLayout w:type="fixed"/>
        <w:tblCellMar>
          <w:top w:w="0" w:type="dxa"/>
          <w:left w:w="0" w:type="dxa"/>
          <w:bottom w:w="0" w:type="dxa"/>
          <w:right w:w="0" w:type="dxa"/>
        </w:tblCellMar>
      </w:tblPr>
      <w:tblGrid>
        <w:gridCol w:w="5896"/>
        <w:gridCol w:w="146"/>
        <w:gridCol w:w="286"/>
        <w:gridCol w:w="526"/>
        <w:gridCol w:w="146"/>
        <w:gridCol w:w="322"/>
        <w:gridCol w:w="594"/>
        <w:gridCol w:w="146"/>
        <w:gridCol w:w="322"/>
        <w:gridCol w:w="594"/>
        <w:gridCol w:w="146"/>
        <w:gridCol w:w="360"/>
        <w:gridCol w:w="721"/>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Year</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Years</w:t>
            </w:r>
          </w:p>
        </w:tc>
        <w:tc>
          <w:tcPr>
            <w:tcW w:w="146" w:type="dxa"/>
            <w:tcBorders/>
            <w:vAlign w:val="bottom"/>
          </w:tcPr>
          <w:p>
            <w:pPr>
              <w:pStyle w:val="TableContents"/>
              <w:bidi w:val="0"/>
              <w:spacing w:before="0" w:after="283"/>
              <w:jc w:val="left"/>
              <w:rPr/>
            </w:pPr>
            <w:r>
              <w:rPr/>
              <w:t> </w:t>
            </w:r>
          </w:p>
        </w:tc>
        <w:tc>
          <w:tcPr>
            <w:tcW w:w="9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Years</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 Years</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w:t>
            </w:r>
          </w:p>
        </w:tc>
        <w:tc>
          <w:tcPr>
            <w:tcW w:w="146"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would pay the following expenses on a $1,000 investment, assuming a 5% annual return entirely from realized gains(2)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46" w:type="dxa"/>
            <w:tcBorders/>
            <w:vAlign w:val="bottom"/>
          </w:tcPr>
          <w:p>
            <w:pPr>
              <w:pStyle w:val="TableContents"/>
              <w:bidi w:val="0"/>
              <w:spacing w:before="0" w:after="283"/>
              <w:jc w:val="left"/>
              <w:rPr/>
            </w:pPr>
            <w:r>
              <w:rPr/>
              <w:t> </w:t>
            </w:r>
          </w:p>
        </w:tc>
        <w:tc>
          <w:tcPr>
            <w:tcW w:w="3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Assumes that we will not realize any capital gains computed net of all realized capital losses and unrealized capital depreciation.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Assumes no unrealized capital depreciation and a 5% annual return resulting entirely from net realized capital gains and not otherwise deferrable under the terms of the Investment Advisory Agreement and therefore subject to the incentive fee based on capital gains. Because our investment strategy involves investments that generate primarily current income, we believe that a 5% annual return resulting entirely from net realized capital gains is unlikely.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example and the expenses in the tables above should not be considered a representation of our </w:t>
      </w:r>
      <w:r>
        <w:rPr>
          <w:rFonts w:ascii="Times New Roman PS Std;serif" w:hAnsi="Times New Roman PS Std;serif"/>
          <w:b/>
          <w:i w:val="false"/>
          <w:caps w:val="false"/>
          <w:smallCaps w:val="false"/>
          <w:sz w:val="20"/>
          <w:bdr w:val="single" w:sz="8" w:space="10" w:color="000000"/>
        </w:rPr>
        <w:t>future expenses, and actual expenses may be greater or less than those shown</w:t>
      </w:r>
      <w:r>
        <w:rPr>
          <w:rFonts w:ascii="Times New Roman PS Std;serif" w:hAnsi="Times New Roman PS Std;serif"/>
          <w:b w:val="false"/>
          <w:i w:val="false"/>
          <w:caps w:val="false"/>
          <w:smallCaps w:val="false"/>
          <w:sz w:val="20"/>
          <w:bdr w:val="single" w:sz="8" w:space="10" w:color="000000"/>
        </w:rPr>
        <w:t>. Moreover, while the example assumes, as required by the SEC, a 5.0% annual return, our performance will vary and may result in a return greater or less than 5.0%. The income incentive fee under our Investment Advisory Agreement, which, assuming a 5% annual return, would either not be payable or would have an insignificant impact on the expense amounts shown above, is not included in the example. If we achieve sufficient returns on our investments to trigger an income incentive fee of a material amount, our expenses, and returns to our investors, would be higher. In addition, while the example assumes reinvestment of all distributions at net asset value, participants in our distribution reinvestment plan may receive shares valued at the market price in effect at that time. This price may be at, above or below net asset value. See “Distribution Reinvestment Plan” for additional information regarding our distribution reinvestment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27"/>
      <w:bookmarkEnd w:id="5"/>
      <w:r>
        <w:rPr>
          <w:rFonts w:ascii="Times New Roman PS Std;serif" w:hAnsi="Times New Roman PS Std;serif"/>
          <w:b/>
          <w:i w:val="false"/>
          <w:caps w:val="false"/>
          <w:smallCaps w:val="false"/>
          <w:sz w:val="20"/>
          <w:bdr w:val="single" w:sz="8" w:space="10" w:color="000000"/>
        </w:rPr>
        <w:t xml:space="preserve">FINANCIAL HIGHLIGHTS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bdr w:val="single" w:sz="8" w:space="10" w:color="000000"/>
        </w:rPr>
        <w:t xml:space="preserve">Information regarding our financial highlights is incorporated by reference herein from our most recent Annual Report on </w:t>
      </w:r>
      <w:hyperlink r:id="rId4">
        <w:r>
          <w:rPr>
            <w:rStyle w:val="InternetLink"/>
            <w:rFonts w:ascii="Times New Roman PS Std;serif" w:hAnsi="Times New Roman PS Std;serif"/>
            <w:b w:val="false"/>
            <w:i w:val="false"/>
            <w:caps w:val="false"/>
            <w:smallCaps w:val="false"/>
            <w:sz w:val="20"/>
            <w:bdr w:val="single" w:sz="8" w:space="10" w:color="000000"/>
          </w:rPr>
          <w:t>Form 10-K</w:t>
        </w:r>
      </w:hyperlink>
      <w:r>
        <w:rPr>
          <w:rFonts w:ascii="Times New Roman PS Std;serif" w:hAnsi="Times New Roman PS Std;serif"/>
          <w:b w:val="false"/>
          <w:i w:val="false"/>
          <w:caps w:val="false"/>
          <w:smallCaps w:val="false"/>
          <w:sz w:val="20"/>
          <w:bdr w:val="single" w:sz="8" w:space="10" w:color="000000"/>
        </w:rPr>
        <w:t xml:space="preserve"> for the fiscal year ended December 31, 2025, filed with the SEC on March 6,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26"/>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“Part I, Item 1A. Risk Factors” in our most recent Annual Report on </w:t>
      </w:r>
      <w:hyperlink r:id="rId5">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which is incorporated by reference herein in its entirety, and any document </w:t>
      </w:r>
      <w:hyperlink r:id="rId6">
        <w:r>
          <w:rPr>
            <w:rStyle w:val="InternetLink"/>
            <w:rFonts w:ascii="Times New Roman PS Std;serif" w:hAnsi="Times New Roman PS Std;serif"/>
            <w:b w:val="false"/>
            <w:i w:val="false"/>
            <w:caps w:val="false"/>
            <w:smallCaps w:val="false"/>
            <w:sz w:val="20"/>
          </w:rPr>
          <w:t>incorporated</w:t>
        </w:r>
      </w:hyperlink>
      <w:r>
        <w:rPr>
          <w:rFonts w:ascii="Times New Roman PS Std;serif" w:hAnsi="Times New Roman PS Std;serif"/>
          <w:b w:val="false"/>
          <w:i w:val="false"/>
          <w:caps w:val="false"/>
          <w:smallCaps w:val="false"/>
          <w:sz w:val="20"/>
        </w:rPr>
        <w:t xml:space="preserve">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business, operations and performance. If any of the following events occur, our business, financial condition and results of operations could be materially and adversely affected. In such case, you may lose all or part of your investment. Please also read carefully the section titled “Cautionary Statement Regarding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25"/>
      <w:bookmarkEnd w:id="7"/>
      <w:r>
        <w:rPr>
          <w:rFonts w:ascii="Times New Roman PS Std;serif" w:hAnsi="Times New Roman PS Std;serif"/>
          <w:b/>
          <w:i w:val="false"/>
          <w:caps w:val="false"/>
          <w:smallCaps w:val="false"/>
          <w:sz w:val="20"/>
        </w:rPr>
        <w:t xml:space="preserve">CAUTIONARY STATEMENT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including the documents that we incorporate by reference herein, contains forward-looking statements that involve substantial risks and uncertainties. These forward-looking statements are not historical facts, but rather are based on current expectations, estimates and projections about Oxford Square,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prospectus involve risks and uncertainties, including statements as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our portfolio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portfolio companies and CLOs, particularly those having no liquid trading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the operations of our portfolio companies and CLO investments;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investment adviser to locate suitable investments for us and monitor and administer our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industry trends and other external factors, including government shutdowns and uncertainty surrounding the financial and political stability of the United States and other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lending and investment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because we use leverage as part of our investment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inflation and its impact on our investment activities and the industries in which we invest;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uncertainties and other factors we identify in “Item 1A. Risk Factors” in our most recent Annual Report on Form 10-K, as well as in any of our subsequent SEC filings.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“Item 1A. Risk Factors” in our most recent Annual Report on Form 10-K, as well as in any of our subsequent SEC filings. You should not place undue reliance on these forward-looking statements, which apply only as of the date of this prospectus. However, we will update this prospectus, and the documents that we incorporate by reference herein, to reflect any material changes to the information contained herein. Because we are an investment company, the forward-looking statements and projections contained in this prospectus, including the documents that we incorporate by reference herein, are excluded from the safe harbor protections provided by Section 27A of the Securities Act and Section 21E of the Exchange Act (the “safe harbor” provisions of the Private Securities Litigation Reform Act of 1995).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24"/>
      <w:bookmarkEnd w:id="8"/>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the sale of our securities pursuant to this prospectus for general corporate purposes, which may include investments in corporate debt and equity securities and investments in collateralized loan obligations. The supplement to this prospectus relating to an offering will more fully identify the use of the proceeds from such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it will take up to six months for us to substantially invest the net proceeds of any offering made pursuant to this prospectus, depending on the availability of attractive opportunities and market conditions. However, we can offer no assurance that we will be able to achieve this goal.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these uses, we will invest such net proceeds primarily in cash, cash equivalents, and U.S. government securities and other high-quality debt investments that mature in one year or less, which are consistent with maintaining our election as a RIC. These temporary investments are expected to provide a lower net return than we hope to achieve from our target investments. The management fee payable by us to our investment adviser will not be reduced while our assets are invested in such temporary investments.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75"/>
      <w:bookmarkEnd w:id="9"/>
      <w:r>
        <w:rPr>
          <w:rFonts w:ascii="Times New Roman PS Std;serif" w:hAnsi="Times New Roman PS Std;serif"/>
          <w:b/>
          <w:i w:val="false"/>
          <w:caps w:val="false"/>
          <w:smallCaps w:val="false"/>
          <w:sz w:val="20"/>
        </w:rPr>
        <w:t xml:space="preserve">PRICE RANGE OF COMMON STOCK AND DISTRIBUTIONS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following information is qualified by reference to, and should be read in conjunction with, the information in our most recent Annual Report on </w:t>
      </w:r>
      <w:hyperlink r:id="rId7">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regarding the price range of our common stock, distributions and stockholders of record, which is incorporated by reference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traded on the Nasdaq Global Select Market under the symbol “OXSQ.” The following table sets forth, for each fiscal quarter during the last two fiscal years and the current fiscal year to date, the net asset value, or “NAV,” per share of our common stock, the high and low intraday sales prices for our common stock, such sales prices as a percentage of NAV per share and quarterly distributions per share.</w:t>
      </w:r>
    </w:p>
    <w:tbl>
      <w:tblPr>
        <w:tblW w:w="9658" w:type="dxa"/>
        <w:jc w:val="left"/>
        <w:tblInd w:w="0" w:type="dxa"/>
        <w:tblLayout w:type="fixed"/>
        <w:tblCellMar>
          <w:top w:w="0" w:type="dxa"/>
          <w:left w:w="0" w:type="dxa"/>
          <w:bottom w:w="0" w:type="dxa"/>
          <w:right w:w="0" w:type="dxa"/>
        </w:tblCellMar>
      </w:tblPr>
      <w:tblGrid>
        <w:gridCol w:w="1546"/>
        <w:gridCol w:w="146"/>
        <w:gridCol w:w="286"/>
        <w:gridCol w:w="586"/>
        <w:gridCol w:w="146"/>
        <w:gridCol w:w="286"/>
        <w:gridCol w:w="586"/>
        <w:gridCol w:w="146"/>
        <w:gridCol w:w="286"/>
        <w:gridCol w:w="586"/>
        <w:gridCol w:w="146"/>
        <w:gridCol w:w="978"/>
        <w:gridCol w:w="552"/>
        <w:gridCol w:w="146"/>
        <w:gridCol w:w="989"/>
        <w:gridCol w:w="496"/>
        <w:gridCol w:w="146"/>
        <w:gridCol w:w="442"/>
        <w:gridCol w:w="1163"/>
      </w:tblGrid>
      <w:tr>
        <w:trPr/>
        <w:tc>
          <w:tcPr>
            <w:tcW w:w="1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br/>
              <w:t>Price Range</w:t>
            </w:r>
          </w:p>
        </w:tc>
        <w:tc>
          <w:tcPr>
            <w:tcW w:w="146" w:type="dxa"/>
            <w:tcBorders/>
            <w:vAlign w:val="bottom"/>
          </w:tcPr>
          <w:p>
            <w:pPr>
              <w:pStyle w:val="TableContents"/>
              <w:bidi w:val="0"/>
              <w:spacing w:before="0" w:after="283"/>
              <w:jc w:val="left"/>
              <w:rPr/>
            </w:pPr>
            <w:r>
              <w:rPr/>
              <w:t> </w:t>
            </w:r>
          </w:p>
        </w:tc>
        <w:tc>
          <w:tcPr>
            <w:tcW w:w="153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or </w:t>
              <w:br/>
              <w:t xml:space="preserve">(Discount) of </w:t>
              <w:br/>
              <w:t xml:space="preserve">High Sales </w:t>
              <w:br/>
              <w:t xml:space="preserve">Price to </w:t>
              <w:br/>
              <w:t>NAV(2)</w:t>
            </w:r>
          </w:p>
        </w:tc>
        <w:tc>
          <w:tcPr>
            <w:tcW w:w="146" w:type="dxa"/>
            <w:vMerge w:val="restart"/>
            <w:tcBorders/>
            <w:vAlign w:val="bottom"/>
          </w:tcPr>
          <w:p>
            <w:pPr>
              <w:pStyle w:val="TableContents"/>
              <w:bidi w:val="0"/>
              <w:spacing w:before="0" w:after="283"/>
              <w:jc w:val="left"/>
              <w:rPr/>
            </w:pPr>
            <w:r>
              <w:rPr/>
              <w:t> </w:t>
            </w:r>
          </w:p>
        </w:tc>
        <w:tc>
          <w:tcPr>
            <w:tcW w:w="1485"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Premium or </w:t>
              <w:br/>
              <w:t xml:space="preserve">(Discount) </w:t>
              <w:br/>
              <w:t xml:space="preserve">of Low Sales </w:t>
              <w:br/>
              <w:t xml:space="preserve">Price to </w:t>
              <w:br/>
              <w:t>NAV(2)</w:t>
            </w:r>
          </w:p>
        </w:tc>
        <w:tc>
          <w:tcPr>
            <w:tcW w:w="146" w:type="dxa"/>
            <w:vMerge w:val="restart"/>
            <w:tcBorders/>
            <w:vAlign w:val="bottom"/>
          </w:tcPr>
          <w:p>
            <w:pPr>
              <w:pStyle w:val="TableContents"/>
              <w:bidi w:val="0"/>
              <w:spacing w:before="0" w:after="283"/>
              <w:jc w:val="left"/>
              <w:rPr/>
            </w:pPr>
            <w:r>
              <w:rPr/>
              <w:t> </w:t>
            </w:r>
          </w:p>
        </w:tc>
        <w:tc>
          <w:tcPr>
            <w:tcW w:w="1605"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Per Share(3)</w:t>
            </w:r>
          </w:p>
        </w:tc>
      </w:tr>
      <w:tr>
        <w:trPr/>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NAV(1)</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High</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Low</w:t>
            </w:r>
          </w:p>
        </w:tc>
        <w:tc>
          <w:tcPr>
            <w:tcW w:w="146" w:type="dxa"/>
            <w:tcBorders/>
            <w:vAlign w:val="bottom"/>
          </w:tcPr>
          <w:p>
            <w:pPr>
              <w:pStyle w:val="TableContents"/>
              <w:bidi w:val="0"/>
              <w:spacing w:before="0" w:after="283"/>
              <w:jc w:val="left"/>
              <w:rPr/>
            </w:pPr>
            <w:r>
              <w:rPr/>
              <w:t> </w:t>
            </w:r>
          </w:p>
        </w:tc>
        <w:tc>
          <w:tcPr>
            <w:tcW w:w="1530"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85"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05" w:type="dxa"/>
            <w:gridSpan w:val="2"/>
            <w:vMerge w:val="continue"/>
            <w:tcBorders/>
            <w:vAlign w:val="bottom"/>
          </w:tcPr>
          <w:p>
            <w:pPr>
              <w:pStyle w:val="Normal"/>
              <w:bidi w:val="0"/>
              <w:jc w:val="left"/>
              <w:rPr/>
            </w:pPr>
            <w:r>
              <w:rPr/>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3" w:type="dxa"/>
            <w:tcBorders/>
            <w:shd w:fill="CCEEFF" w:val="clear"/>
            <w:vAlign w:val="bottom"/>
          </w:tcPr>
          <w:p>
            <w:pPr>
              <w:pStyle w:val="TableContents"/>
              <w:bidi w:val="0"/>
              <w:spacing w:before="0" w:after="283"/>
              <w:jc w:val="left"/>
              <w:rPr/>
            </w:pPr>
            <w:r>
              <w:rPr/>
              <w:t> </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4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63" w:type="dxa"/>
            <w:tcBorders/>
            <w:shd w:fill="CCEEFF" w:val="clear"/>
            <w:vAlign w:val="bottom"/>
          </w:tcPr>
          <w:p>
            <w:pPr>
              <w:pStyle w:val="TableContents"/>
              <w:bidi w:val="0"/>
              <w:spacing w:before="0" w:after="283"/>
              <w:jc w:val="left"/>
              <w:rPr/>
            </w:pPr>
            <w:r>
              <w:rPr/>
              <w:t> </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Fourth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Third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Second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28.2</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First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16.7</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5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63" w:type="dxa"/>
            <w:tcBorders/>
            <w:vAlign w:val="bottom"/>
          </w:tcPr>
          <w:p>
            <w:pPr>
              <w:pStyle w:val="TableContents"/>
              <w:bidi w:val="0"/>
              <w:spacing w:before="0" w:after="283"/>
              <w:jc w:val="left"/>
              <w:rPr/>
            </w:pPr>
            <w:r>
              <w:rPr/>
              <w:t> </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Fourth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Third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2.74</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31.9</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Second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2.91</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35.4</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19.8</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First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33.1</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Fiscal 2023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63" w:type="dxa"/>
            <w:tcBorders/>
            <w:shd w:fill="CCEEFF" w:val="clear"/>
            <w:vAlign w:val="bottom"/>
          </w:tcPr>
          <w:p>
            <w:pPr>
              <w:pStyle w:val="TableContents"/>
              <w:bidi w:val="0"/>
              <w:spacing w:before="0" w:after="283"/>
              <w:jc w:val="left"/>
              <w:rPr/>
            </w:pPr>
            <w:r>
              <w:rPr/>
              <w:t> </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Fourth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2.82</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22.4</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Third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2.68</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18.3</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0.225</w:t>
            </w:r>
          </w:p>
        </w:tc>
      </w:tr>
      <w:tr>
        <w:trPr/>
        <w:tc>
          <w:tcPr>
            <w:tcW w:w="1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Second Quarter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2.60</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w:t>
            </w:r>
          </w:p>
        </w:tc>
        <w:tc>
          <w:tcPr>
            <w:tcW w:w="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r>
        <w:trPr/>
        <w:tc>
          <w:tcPr>
            <w:tcW w:w="1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First Quarter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32.1</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w:t>
            </w:r>
          </w:p>
        </w:tc>
        <w:tc>
          <w:tcPr>
            <w:tcW w:w="4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0.105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Net asset value has not yet been calculated for this period.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Calculated as the respective high or low intraday sales price divided by NAV and subtracting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the cash distributions, including dividends, dividends reinvested and returns of capital, if any, per share that we have declared on our common stock in the specified quarter.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BDCs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It is not possible to predict whether the shares offered hereby will trade at, above, or below net asset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14, 2026, the last reported sales price of our common stock was $1.91 per share. As of April 8, 2026, we had 128 stockholders of record.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76"/>
      <w:bookmarkEnd w:id="10"/>
      <w:r>
        <w:rPr>
          <w:rFonts w:ascii="Times New Roman PS Std;serif" w:hAnsi="Times New Roman PS Std;serif"/>
          <w:b/>
          <w:i w:val="false"/>
          <w:caps w:val="false"/>
          <w:smallCaps w:val="false"/>
          <w:sz w:val="20"/>
        </w:rPr>
        <w:t>MANAGEMENT’S DISCUSSION AND ANALYSIS OF</w:t>
        <w:br/>
        <w:t xml:space="preserve">FINANCIAL CONDITION AND RESULTS OF OPERATIONS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“Part II, Item 7. Management’s Discussion and Analysis of Financial Condition and Results of Operations” in our most recent Annual Report on </w:t>
      </w:r>
      <w:hyperlink r:id="rId8">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is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23"/>
      <w:bookmarkEnd w:id="11"/>
      <w:r>
        <w:rPr>
          <w:rFonts w:ascii="Times New Roman PS Std;serif" w:hAnsi="Times New Roman PS Std;serif"/>
          <w:b/>
          <w:i w:val="false"/>
          <w:caps w:val="false"/>
          <w:smallCaps w:val="false"/>
          <w:sz w:val="20"/>
        </w:rPr>
        <w:t xml:space="preserve">SENIOR SECURITIES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Information about our senior securities as of each of the years ended December 31, 2025, 2024, 2023, 2022, 2021, 2020, 2019, 2018, 2017 and 2016 may be found in “Part II, Item 8. Financial Statements and Supplementary Data” of our most recent Annual Report on </w:t>
      </w:r>
      <w:hyperlink r:id="rId9">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which is incorporated by reference herein. The report of PricewaterhouseCoopers LLP, an independent registered public accounting firm, on our financial statements as of December 31, 2025, of which the Senior Securities table as of December 2025, 2024, 2023, 2022 and 2021 is a part, has been incorporated by reference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22"/>
      <w:bookmarkEnd w:id="12"/>
      <w:r>
        <w:rPr>
          <w:rFonts w:ascii="Times New Roman PS Std;serif" w:hAnsi="Times New Roman PS Std;serif"/>
          <w:b/>
          <w:i w:val="false"/>
          <w:caps w:val="false"/>
          <w:smallCaps w:val="false"/>
          <w:sz w:val="20"/>
        </w:rPr>
        <w:t xml:space="preserve">PORTFOLIO COMPANIES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following table sets forth certain information as of December 31, 2025 regarding each portfolio company in which we have a debt or equity investment. The general terms of our loans and other investments are described in “Item 1. Business — Investment Process” in our most recent Annual Report on </w:t>
      </w:r>
      <w:hyperlink r:id="rId10">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We offer to make available significant managerial assistance to our qualified portfolio companies. We may receive rights to observe the meetings of our portfolio companies’ board of directors. Other than these investments, our only relationships with our portfolio companies are the managerial assistance we may separately provide to our portfolio companies, which services would be ancillary to our investments.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w:t>
        <w:br/>
        <w:t>December 31, 2025</w:t>
      </w:r>
    </w:p>
    <w:tbl>
      <w:tblPr>
        <w:tblW w:w="11109" w:type="dxa"/>
        <w:jc w:val="left"/>
        <w:tblInd w:w="0" w:type="dxa"/>
        <w:tblLayout w:type="fixed"/>
        <w:tblCellMar>
          <w:top w:w="0" w:type="dxa"/>
          <w:left w:w="0" w:type="dxa"/>
          <w:bottom w:w="0" w:type="dxa"/>
          <w:right w:w="0" w:type="dxa"/>
        </w:tblCellMar>
      </w:tblPr>
      <w:tblGrid>
        <w:gridCol w:w="1436"/>
        <w:gridCol w:w="146"/>
        <w:gridCol w:w="1051"/>
        <w:gridCol w:w="146"/>
        <w:gridCol w:w="1171"/>
        <w:gridCol w:w="146"/>
        <w:gridCol w:w="1156"/>
        <w:gridCol w:w="146"/>
        <w:gridCol w:w="271"/>
        <w:gridCol w:w="1096"/>
        <w:gridCol w:w="146"/>
        <w:gridCol w:w="286"/>
        <w:gridCol w:w="1246"/>
        <w:gridCol w:w="146"/>
        <w:gridCol w:w="286"/>
        <w:gridCol w:w="1246"/>
        <w:gridCol w:w="146"/>
        <w:gridCol w:w="526"/>
        <w:gridCol w:w="316"/>
      </w:tblGrid>
      <w:tr>
        <w:trPr/>
        <w:tc>
          <w:tcPr>
            <w:tcW w:w="1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1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Senior Secured Notes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Business Services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Access CIG, LLC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7.72% (SOFR + 4.00%), (0.50% floor) due August 19, 2030</w:t>
            </w:r>
            <w:r>
              <w:rPr>
                <w:rFonts w:ascii="Times New Roman PS Std;serif" w:hAnsi="Times New Roman PS Std;serif"/>
                <w:b w:val="false"/>
                <w:i w:val="false"/>
                <w:caps w:val="false"/>
                <w:smallCaps w:val="false"/>
                <w:sz w:val="12"/>
              </w:rPr>
              <w:t>(4)(6)(14)(23)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6818 A Patterson Pass Road, Livermore, CA 94550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15, 2025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10,021,032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10,021,032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9,645,243</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Convergint Technologies, LLC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second lien senior secured notes, 9.22% (SOFR+ 5.50%), (0.75% floor) due July 29, 2033</w:t>
            </w:r>
            <w:r>
              <w:rPr>
                <w:rFonts w:ascii="Times New Roman PS Std;serif" w:hAnsi="Times New Roman PS Std;serif"/>
                <w:b w:val="false"/>
                <w:i w:val="false"/>
                <w:caps w:val="false"/>
                <w:smallCaps w:val="false"/>
                <w:sz w:val="12"/>
              </w:rPr>
              <w:t>(4)(5)(14)(23)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One Commerce Drive Schaumburg, Illinois 60173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23, 2025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9,950,843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10,050,000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Verifone, Inc. (f/k/a Verifone Systems, Inc.)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9.35% (SOFR + 5.25%), (0.00% floor) due August 18,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One Letterman Drive, Building C, Suite 410 San Francisco, CA 94120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March 28, 2025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13,162,936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12,145,783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12,471,882</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Business Services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32,117,658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32,167,125</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22.1</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Food and Beverage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Shearer’s Foods, LLC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6.47% (SOFR + 2.75%), (0.00% floor) due February 12, 2031</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 Lincoln Way East, Massillon, OH 44646</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January 31,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9,850,687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9,874,427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9,837,290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Food and Beverage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9,874,427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9,837,290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6.8</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Healthcare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HealthChannels, Inc. </w:t>
              <w:br/>
              <w:t>(f/k/a ScribeAmerica, LLC)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10.25% (Prime + 3.50%) cash, 2.00% PIK, (0.00% floor) due January 12, 2026</w:t>
            </w:r>
            <w:r>
              <w:rPr>
                <w:rFonts w:ascii="Times New Roman PS Std;serif" w:hAnsi="Times New Roman PS Std;serif"/>
                <w:b w:val="false"/>
                <w:i w:val="false"/>
                <w:caps w:val="false"/>
                <w:smallCaps w:val="false"/>
                <w:sz w:val="12"/>
              </w:rPr>
              <w:t>(3)(4)(5)(6)(26)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1200 East Las Olas Blvd, Suite 201, Fort Lauderdale, FL 33301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2018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8,833,722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8,838,455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6,360,280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Performance Health Inc.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7.62% (SOFR + 3.75%), (0.00% floor) due March 19, 2032</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3333 Finley Road, Suite 575 Downer Grove, IL 60515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March 24, 2025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9,962,469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9,925,063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9,813,032</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Viant Medical Holdings, Inc.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7.72% (SOFR + 4.00%), (0.00% floor) due October 29, 2031</w:t>
            </w:r>
            <w:r>
              <w:rPr>
                <w:rFonts w:ascii="Times New Roman PS Std;serif" w:hAnsi="Times New Roman PS Std;serif"/>
                <w:b w:val="false"/>
                <w:i w:val="false"/>
                <w:caps w:val="false"/>
                <w:smallCaps w:val="false"/>
                <w:sz w:val="12"/>
              </w:rPr>
              <w:t>(4)(5)(6)(23)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 Hampshire Street Foxborough, MA 02035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16, 2024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5,940,000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5,915,373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5,880,600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436"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Healthcare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24,678,891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22,053,912</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15.2</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349" w:type="dxa"/>
        <w:jc w:val="left"/>
        <w:tblInd w:w="0" w:type="dxa"/>
        <w:tblLayout w:type="fixed"/>
        <w:tblCellMar>
          <w:top w:w="0" w:type="dxa"/>
          <w:left w:w="0" w:type="dxa"/>
          <w:bottom w:w="0" w:type="dxa"/>
          <w:right w:w="0" w:type="dxa"/>
        </w:tblCellMar>
      </w:tblPr>
      <w:tblGrid>
        <w:gridCol w:w="1541"/>
        <w:gridCol w:w="146"/>
        <w:gridCol w:w="1051"/>
        <w:gridCol w:w="146"/>
        <w:gridCol w:w="1171"/>
        <w:gridCol w:w="146"/>
        <w:gridCol w:w="1291"/>
        <w:gridCol w:w="146"/>
        <w:gridCol w:w="271"/>
        <w:gridCol w:w="1096"/>
        <w:gridCol w:w="146"/>
        <w:gridCol w:w="286"/>
        <w:gridCol w:w="1246"/>
        <w:gridCol w:w="146"/>
        <w:gridCol w:w="286"/>
        <w:gridCol w:w="1246"/>
        <w:gridCol w:w="146"/>
        <w:gridCol w:w="526"/>
        <w:gridCol w:w="316"/>
      </w:tblGrid>
      <w:tr>
        <w:trPr/>
        <w:tc>
          <w:tcPr>
            <w:tcW w:w="15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1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Senior Secured Notes – (continued)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Industrials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Highline Warren, LLC (f/k/a Highline Aftermarket, LLC)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7.32% (SOFR + 3.50%), (0.75% floor) due February 19, 2030</w:t>
            </w:r>
            <w:r>
              <w:rPr>
                <w:rFonts w:ascii="Times New Roman PS Std;serif" w:hAnsi="Times New Roman PS Std;serif"/>
                <w:b w:val="false"/>
                <w:i w:val="false"/>
                <w:caps w:val="false"/>
                <w:smallCaps w:val="false"/>
                <w:sz w:val="12"/>
              </w:rPr>
              <w:t>(4)(5)(6)(16)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4500 Malone Rd, Memphis, TN 38118</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February 13, 2025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6,940,000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6,940,314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6,970,397</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Baker International, Inc.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7.84% (SOFR + 4.00%), (0.75% floor) due December 1, 2028</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 Grant Street Suite 5400 Pittsburgh, PA 15219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22,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9,850,500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9,893,738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9,862,813</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ProMach Inc.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6.47% (SOFR + 2.75%), (0.00% floor) due October 16, 2032</w:t>
            </w:r>
            <w:r>
              <w:rPr>
                <w:rFonts w:ascii="Times New Roman PS Std;serif" w:hAnsi="Times New Roman PS Std;serif"/>
                <w:b w:val="false"/>
                <w:i w:val="false"/>
                <w:caps w:val="false"/>
                <w:smallCaps w:val="false"/>
                <w:sz w:val="12"/>
              </w:rPr>
              <w:t>(4)(5)(6)(23)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 East Rivercenter Blvd, Suite 1800, Covington, KY 41011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9, 2025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2,992,511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3,018,750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Industrials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19,826,563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19,851,960</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13.7</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Materials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Veritiv Operating Company</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7.67% (SOFR + 4.00%), (0.75% floor) due November 30, 2030</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 Abernathy Rd. NE Bldg. 400, Ste. 1700 Atlanta, GA 30328</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6,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8,924,736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8,920,823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8,914,562</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Materials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8,920,823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8,914,562</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6.1</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Software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Dodge Construction Network LLC (f/k/a Dodge Data &amp; Analytics, LLC)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first out senior secured notes, 10.25% (SOFR + 6.25%), (0.50% floor) due January 31,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 American Metro Blvd. Suite 185 Hamilton, NJ 08619</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14, 2024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2,175,824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2,150,991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2,181,264</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second out senior secured notes, 8.75% (SOFR + 4.75%), (0.50% floor) due February 28,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14,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3,017,281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2,538,618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2,413,825</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second lien senior secured notes, 12.07% (SOFR + 8.25%) PIK, (0.50% floor) due March 31, 2029</w:t>
            </w:r>
            <w:r>
              <w:rPr>
                <w:rFonts w:ascii="Times New Roman PS Std;serif" w:hAnsi="Times New Roman PS Std;serif"/>
                <w:b w:val="false"/>
                <w:i w:val="false"/>
                <w:caps w:val="false"/>
                <w:smallCaps w:val="false"/>
                <w:sz w:val="12"/>
              </w:rPr>
              <w:t>(3)(4)(5)(14)(16)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14, 2024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17,015,123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9,211,125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6,806,049</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Forta, LLC (f/k/a Help/Systems Holdings, Inc.)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9.97% (SOFR + 6.00%), (2.00% floor) due May 21, 2029</w:t>
            </w:r>
            <w:r>
              <w:rPr>
                <w:rFonts w:ascii="Times New Roman PS Std;serif" w:hAnsi="Times New Roman PS Std;serif"/>
                <w:b w:val="false"/>
                <w:i w:val="false"/>
                <w:caps w:val="false"/>
                <w:smallCaps w:val="false"/>
                <w:sz w:val="12"/>
              </w:rPr>
              <w:t>(4)(5)(14)(16)</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6455 City West Parkway Eden Prairie, MN 55344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21, 2025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3,243,343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2,943,334</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second lien senior secured notes, 3.97% (SOFR, 2.00% floor) cash, 9.00% PIK due May 21, 2029</w:t>
            </w:r>
            <w:r>
              <w:rPr>
                <w:rFonts w:ascii="Times New Roman PS Std;serif" w:hAnsi="Times New Roman PS Std;serif"/>
                <w:b w:val="false"/>
                <w:i w:val="false"/>
                <w:caps w:val="false"/>
                <w:smallCaps w:val="false"/>
                <w:sz w:val="12"/>
              </w:rPr>
              <w:t>(3)(4)(5)(14)(16)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21, 2025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8,140,000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6,496,312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5,291,000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794" w:type="dxa"/>
        <w:jc w:val="left"/>
        <w:tblInd w:w="0" w:type="dxa"/>
        <w:tblLayout w:type="fixed"/>
        <w:tblCellMar>
          <w:top w:w="0" w:type="dxa"/>
          <w:left w:w="0" w:type="dxa"/>
          <w:bottom w:w="0" w:type="dxa"/>
          <w:right w:w="0" w:type="dxa"/>
        </w:tblCellMar>
      </w:tblPr>
      <w:tblGrid>
        <w:gridCol w:w="1751"/>
        <w:gridCol w:w="146"/>
        <w:gridCol w:w="1061"/>
        <w:gridCol w:w="146"/>
        <w:gridCol w:w="1171"/>
        <w:gridCol w:w="146"/>
        <w:gridCol w:w="1156"/>
        <w:gridCol w:w="146"/>
        <w:gridCol w:w="271"/>
        <w:gridCol w:w="1096"/>
        <w:gridCol w:w="146"/>
        <w:gridCol w:w="286"/>
        <w:gridCol w:w="1366"/>
        <w:gridCol w:w="146"/>
        <w:gridCol w:w="286"/>
        <w:gridCol w:w="1366"/>
        <w:gridCol w:w="146"/>
        <w:gridCol w:w="646"/>
        <w:gridCol w:w="316"/>
      </w:tblGrid>
      <w:tr>
        <w:trPr/>
        <w:tc>
          <w:tcPr>
            <w:tcW w:w="17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1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Senior Secured Notes – (continued)</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Magenta Buyer, LLC (f/k/a McAfee Enterprise, LLC)</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first out senior secured notes, 10.85% (SOFR + 6.75%),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 Headquarters Dr Plano, TX 75024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14,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234,573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215,207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180,621</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second out senior secured notes, 11.10% (SOFR + 7.00%)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14, 2024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1,310,350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1,010,783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576,554</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third out senior secured notes, 10.35% (SOFR + 6.25%)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14,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10,340,152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3,767,921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2,429,936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RSA Security, LLC</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second lien senior secured notes, 11.85% (SOFR + 7.75%), (0.75% floor) due April 27, 2029</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176 Middlesex Turnpike Bedford, MA 01730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16, 2021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14,859,002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2,734,500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Smartronix, LLC</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8.22% (SOFR + 4.50%), (0.75% floor) due February 6, 2032</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44150 Smartronix Way Hollywood, MD 20636</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February 6, 2025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9,949,937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9,959,596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9,850,438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Tungsten Automation Corporation (f/k/a Kofax, Inc.)</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9.19% (SOFR + 5.25%), (0.50% floor) due July 20,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5211 Laguna Canyon Road, Irvine, CA</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February 1, 2023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9,756,431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9,287,899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8,341,749</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Software</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62,577,545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43,749,270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30.1</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Telecommunication Services</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ConvergeOne Holdings, Inc.</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9.52% (SOFR + 5.75%), (0.00% floor) due June 4, 2030</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10900 Nesbitt Avenue South, Bloomington, MN 55437</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4,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934,808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899,579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373,923</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Global Tel Link Corp.</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first lien senior secured notes, 11.22% (SOFR + 7.50%), (3.00% floor) due August 6, 2029</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12021 Sunset Hills Road Suite 100 Reston, VA 20190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29, 2024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10,379,729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10,114,431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10,305,099</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Telecommunication </w:t>
              <w:br/>
              <w:t>Services</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11,014,010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10,679,022</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Senior Secured Notes</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169,009,917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147,253,141</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101.3</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Equity Investments</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Structured Finance</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Allegro CLO XII, Ltd.</w:t>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13.53% due July 21,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Ocorian Trust (Cayman) Limited Windward 3, Regatta Office Park P.O. Box 1350 Grand Cayman, KY1-1108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21,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1,861,641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1,350,000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633" w:type="dxa"/>
        <w:jc w:val="left"/>
        <w:tblInd w:w="0" w:type="dxa"/>
        <w:tblLayout w:type="fixed"/>
        <w:tblCellMar>
          <w:top w:w="0" w:type="dxa"/>
          <w:left w:w="0" w:type="dxa"/>
          <w:bottom w:w="0" w:type="dxa"/>
          <w:right w:w="0" w:type="dxa"/>
        </w:tblCellMar>
      </w:tblPr>
      <w:tblGrid>
        <w:gridCol w:w="2291"/>
        <w:gridCol w:w="146"/>
        <w:gridCol w:w="1051"/>
        <w:gridCol w:w="146"/>
        <w:gridCol w:w="1171"/>
        <w:gridCol w:w="146"/>
        <w:gridCol w:w="1276"/>
        <w:gridCol w:w="146"/>
        <w:gridCol w:w="271"/>
        <w:gridCol w:w="1096"/>
        <w:gridCol w:w="146"/>
        <w:gridCol w:w="271"/>
        <w:gridCol w:w="1096"/>
        <w:gridCol w:w="146"/>
        <w:gridCol w:w="271"/>
        <w:gridCol w:w="1096"/>
        <w:gridCol w:w="146"/>
        <w:gridCol w:w="721"/>
      </w:tblGrid>
      <w:tr>
        <w:trPr/>
        <w:tc>
          <w:tcPr>
            <w:tcW w:w="2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2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Equity Investments – (continued)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Ares XLIV CLO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21.10% due April 15, 2034</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15, 2023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1,333,874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877,005</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Atlas Senior Loan Fund XI, Ltd.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July 26, 2031</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EsteraTrust (Cayman) Limited, Clifton House, 75 Fort Street, P.O. Box 1350, Grand Cayman KY1-1108,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5, 2019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5,725,000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1,402,272</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14,313</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Bain Capital Credit CLO 2017-2,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13.71% due July 25,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KYl-1102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January 17,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3,086,500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1,780,067</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1,111,140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2014-2 Ltd.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October 20,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Queensgate House Grand Cayman, KY1-1102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3, 2019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6,374,000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365,288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63,740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BlueMountain CLO XXXI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16.75% due April 19, 2034</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P.O. Box 1093 c/o MaplesFS Limited Boundary Hall, Cricket Square Grand Cayman, KY1-1102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16,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12,075,000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7,092,735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4,226,250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Carlyle Global Market Strategies CLO 2021-6, Ltd.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13.39% due January 15, 2038</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Walkers Fiduciary Limited, 190 Elgin Avenue, George Town, Grand Cayman KY1-9008,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30, 2021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29,600,000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18,330,018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12,136,000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648" w:type="dxa"/>
        <w:jc w:val="left"/>
        <w:tblInd w:w="0" w:type="dxa"/>
        <w:tblLayout w:type="fixed"/>
        <w:tblCellMar>
          <w:top w:w="0" w:type="dxa"/>
          <w:left w:w="0" w:type="dxa"/>
          <w:bottom w:w="0" w:type="dxa"/>
          <w:right w:w="0" w:type="dxa"/>
        </w:tblCellMar>
      </w:tblPr>
      <w:tblGrid>
        <w:gridCol w:w="2291"/>
        <w:gridCol w:w="146"/>
        <w:gridCol w:w="1051"/>
        <w:gridCol w:w="146"/>
        <w:gridCol w:w="1171"/>
        <w:gridCol w:w="146"/>
        <w:gridCol w:w="1291"/>
        <w:gridCol w:w="146"/>
        <w:gridCol w:w="271"/>
        <w:gridCol w:w="1096"/>
        <w:gridCol w:w="146"/>
        <w:gridCol w:w="271"/>
        <w:gridCol w:w="1096"/>
        <w:gridCol w:w="146"/>
        <w:gridCol w:w="271"/>
        <w:gridCol w:w="1096"/>
        <w:gridCol w:w="146"/>
        <w:gridCol w:w="721"/>
      </w:tblGrid>
      <w:tr>
        <w:trPr/>
        <w:tc>
          <w:tcPr>
            <w:tcW w:w="2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2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Equity Investments – (continued)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II CLO,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8.60% due July 22, 2038</w:t>
            </w:r>
            <w:r>
              <w:rPr>
                <w:rFonts w:ascii="Times New Roman PS Std;serif" w:hAnsi="Times New Roman PS Std;serif"/>
                <w:b w:val="false"/>
                <w:i w:val="false"/>
                <w:caps w:val="false"/>
                <w:smallCaps w:val="false"/>
                <w:sz w:val="12"/>
              </w:rPr>
              <w:t>(9)(11)(12)(13)(18)(24)</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Estera Trust (Cayman) Limited, Clifton House, 75 Fort Street, P.O. Box 1350, Grand Cayman KY1-1108,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23, 2013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18,000,000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10,594,006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6,505,322</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Cedar Funding VI CLO, Ltd.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9.77% due April 20, 2034</w:t>
            </w:r>
            <w:r>
              <w:rPr>
                <w:rFonts w:ascii="Times New Roman PS Std;serif" w:hAnsi="Times New Roman PS Std;serif"/>
                <w:b w:val="false"/>
                <w:i w:val="false"/>
                <w:caps w:val="false"/>
                <w:smallCaps w:val="false"/>
                <w:sz w:val="12"/>
              </w:rPr>
              <w:t>(9)(11)(12)(18)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Appleby Trust (Cayman) Ltd. Clifton House 75 Fort Street PO Box 1350 Grand Cayman KY1-1108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15, 2017</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7,700,000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5,455,615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2,579,500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CIFC Funding 2014-3,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income notes, estimated yield 0.00% due March 31, 2038</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Queensgate House Grand Cayman, KY1-1102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January 24, 2017</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1,906,343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530,000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Dryden 43 Senior Loan Fund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4.23% due April 20, 2034</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 2021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47,263,000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21,945,691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9,925,230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Generate CLO 10,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18.56% due January 22, 2038</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Appleby Global Services (Cayman) Limited 71 Fort Street, PO Box 500 Grand Cayman KY1-1106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13, 2025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21,704,094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17,700,000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Gulf Stream Meridian 5 Ltd.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15.47% due October 15, 2039</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Walkers Fiduciary Limited 190 Elgin Avenue George Town Grand Cayman, KY1-9008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15, 2023</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6,625,000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3,487,610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2,713,271</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853" w:type="dxa"/>
        <w:jc w:val="left"/>
        <w:tblInd w:w="0" w:type="dxa"/>
        <w:tblLayout w:type="fixed"/>
        <w:tblCellMar>
          <w:top w:w="0" w:type="dxa"/>
          <w:left w:w="0" w:type="dxa"/>
          <w:bottom w:w="0" w:type="dxa"/>
          <w:right w:w="0" w:type="dxa"/>
        </w:tblCellMar>
      </w:tblPr>
      <w:tblGrid>
        <w:gridCol w:w="2291"/>
        <w:gridCol w:w="146"/>
        <w:gridCol w:w="1211"/>
        <w:gridCol w:w="146"/>
        <w:gridCol w:w="1171"/>
        <w:gridCol w:w="146"/>
        <w:gridCol w:w="1336"/>
        <w:gridCol w:w="146"/>
        <w:gridCol w:w="271"/>
        <w:gridCol w:w="1096"/>
        <w:gridCol w:w="146"/>
        <w:gridCol w:w="271"/>
        <w:gridCol w:w="1096"/>
        <w:gridCol w:w="146"/>
        <w:gridCol w:w="271"/>
        <w:gridCol w:w="1096"/>
        <w:gridCol w:w="146"/>
        <w:gridCol w:w="721"/>
      </w:tblGrid>
      <w:tr>
        <w:trPr/>
        <w:tc>
          <w:tcPr>
            <w:tcW w:w="2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2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Equity Investments – (continued)</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XVIII, Ltd.</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October 21, 2030</w:t>
            </w:r>
            <w:r>
              <w:rPr>
                <w:rFonts w:ascii="Times New Roman PS Std;serif" w:hAnsi="Times New Roman PS Std;serif"/>
                <w:b w:val="false"/>
                <w:i w:val="false"/>
                <w:caps w:val="false"/>
                <w:smallCaps w:val="false"/>
                <w:sz w:val="12"/>
              </w:rPr>
              <w:t>(9)(11)(12)(15)(18)(22)(25)</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Appleby Trust (Cayman) Ltd., Clifton House, 75 Fort Street, P.O. Box 1350, Grand Cayman KY1-1108,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22, 2020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1,419,879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603,750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Madison Park Funding XIX, Ltd.</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11.19% due January 22, 2037</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Appleby Trust (Cayman) Ltd., Clifton House, 75 Fort Street, P.O. Box 1350, Grand Cayman KY1-1108,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11, 2016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5,422,500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2,386,298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1,789,425</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OCP CLO 2024-37, Ltd.</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13.01% due October 15, 2037</w:t>
            </w:r>
            <w:r>
              <w:rPr>
                <w:rFonts w:ascii="Times New Roman PS Std;serif" w:hAnsi="Times New Roman PS Std;serif"/>
                <w:b w:val="false"/>
                <w:i w:val="false"/>
                <w:caps w:val="false"/>
                <w:smallCaps w:val="false"/>
                <w:sz w:val="12"/>
              </w:rPr>
              <w:t>(9)(11)(12)(14)(18)(22)</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PO Box 536, 13-14 Esplanade St Helier, JE4 5UR Jersey</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42.9%</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27, 2024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27,035,000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24,028,836</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18,113,450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Octagon Investment Partners 49, Ltd.</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6.21% due April 15, 2037</w:t>
            </w:r>
            <w:r>
              <w:rPr>
                <w:rFonts w:ascii="Times New Roman PS Std;serif" w:hAnsi="Times New Roman PS Std;serif"/>
                <w:b w:val="false"/>
                <w:i w:val="false"/>
                <w:caps w:val="false"/>
                <w:smallCaps w:val="false"/>
                <w:sz w:val="12"/>
              </w:rPr>
              <w:t>(9)(11)(12)(13)(14)(18)(24)</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50.2%</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11, 2020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26,375,000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15,732,561</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7,670,797</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Reese Park CLO, Ltd.</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17.42% due January 15, 2038</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29.1%</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13, 2025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16,160,000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8,497,742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6,625,600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M2 fee notes, due January 15, 2038</w:t>
            </w:r>
            <w:r>
              <w:rPr>
                <w:rFonts w:ascii="Times New Roman PS Std;serif" w:hAnsi="Times New Roman PS Std;serif"/>
                <w:b w:val="false"/>
                <w:i w:val="false"/>
                <w:caps w:val="false"/>
                <w:smallCaps w:val="false"/>
                <w:sz w:val="12"/>
              </w:rPr>
              <w:t>(11)(12)(13)(22)(24)</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31.8%</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13, 2025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21,008,000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580,842</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552,841</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Sound Point CLO XVI, Ltd.</w:t>
            </w:r>
          </w:p>
        </w:tc>
        <w:tc>
          <w:tcPr>
            <w:tcW w:w="146"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July 25, 2030</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58.3%</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August 1, 2018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45,500,000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19,023,511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4,550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099" w:type="dxa"/>
        <w:jc w:val="left"/>
        <w:tblInd w:w="0" w:type="dxa"/>
        <w:tblLayout w:type="fixed"/>
        <w:tblCellMar>
          <w:top w:w="0" w:type="dxa"/>
          <w:left w:w="0" w:type="dxa"/>
          <w:bottom w:w="0" w:type="dxa"/>
          <w:right w:w="0" w:type="dxa"/>
        </w:tblCellMar>
      </w:tblPr>
      <w:tblGrid>
        <w:gridCol w:w="2291"/>
        <w:gridCol w:w="146"/>
        <w:gridCol w:w="1051"/>
        <w:gridCol w:w="146"/>
        <w:gridCol w:w="1171"/>
        <w:gridCol w:w="146"/>
        <w:gridCol w:w="1171"/>
        <w:gridCol w:w="146"/>
        <w:gridCol w:w="271"/>
        <w:gridCol w:w="1096"/>
        <w:gridCol w:w="146"/>
        <w:gridCol w:w="286"/>
        <w:gridCol w:w="1366"/>
        <w:gridCol w:w="146"/>
        <w:gridCol w:w="286"/>
        <w:gridCol w:w="1246"/>
        <w:gridCol w:w="146"/>
        <w:gridCol w:w="526"/>
        <w:gridCol w:w="316"/>
      </w:tblGrid>
      <w:tr>
        <w:trPr/>
        <w:tc>
          <w:tcPr>
            <w:tcW w:w="2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2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Collateralized Loan Obligation – Equity Investments – (continued)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Telos CLO 2013-3,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July 17, 2026</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Appleby Trust (Cayman) Ltd. Clifton House 75 Fort Street PO Box 1350 Grand Cayman KY1-1108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January 25, 2013</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14,447,790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6,207,075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1,445</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Telos CLO 2014-5, Ltd.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April 17, 2028</w:t>
            </w:r>
            <w:r>
              <w:rPr>
                <w:rFonts w:ascii="Times New Roman PS Std;serif" w:hAnsi="Times New Roman PS Std;serif"/>
                <w:b w:val="false"/>
                <w:i w:val="false"/>
                <w:caps w:val="false"/>
                <w:smallCaps w:val="false"/>
                <w:sz w:val="12"/>
              </w:rPr>
              <w:t>(9)(11)(12)(15)(18)(25)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Appleby Trust (Cayman) Ltd. Clifton House 75 Fort Street PO Box 1350 Grand Cayman KY1-1108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11, 2014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28,500,000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18,179,226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XX,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April 15, 2027</w:t>
            </w:r>
            <w:r>
              <w:rPr>
                <w:rFonts w:ascii="Times New Roman PS Std;serif" w:hAnsi="Times New Roman PS Std;serif"/>
                <w:b w:val="false"/>
                <w:i w:val="false"/>
                <w:caps w:val="false"/>
                <w:smallCaps w:val="false"/>
                <w:sz w:val="12"/>
              </w:rPr>
              <w:t>(9)(11)(12)(15)(18)(22)(25)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27, 2018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332,779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Venture 35 CLO, Limited</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October 22, 2031</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7, 2020</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512,144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12,500</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Zais CLO 6, Ltd.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CLO subordinated notes, estimated yield 0.00% due July 15, 2029</w:t>
            </w:r>
            <w:r>
              <w:rPr>
                <w:rFonts w:ascii="Times New Roman PS Std;serif" w:hAnsi="Times New Roman PS Std;serif"/>
                <w:b w:val="false"/>
                <w:i w:val="false"/>
                <w:caps w:val="false"/>
                <w:smallCaps w:val="false"/>
                <w:sz w:val="12"/>
              </w:rPr>
              <w:t>(9)(11)(12)(13)(18)(24)(25)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c/o MaplesFS Limited P.O. Box 1093 Boundary Hall Cricket Square Grand Cayman, KY1-1102 Cayman Islands</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3, 2017</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5,069,347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6,129</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229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Structured Finance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199,229,494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95,112,258</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65.4</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229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Collateralized Loan Obligation – Equity Investments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199,229,494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95,112,258</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65.4</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1648" w:type="dxa"/>
        <w:jc w:val="left"/>
        <w:tblInd w:w="0" w:type="dxa"/>
        <w:tblLayout w:type="fixed"/>
        <w:tblCellMar>
          <w:top w:w="0" w:type="dxa"/>
          <w:left w:w="0" w:type="dxa"/>
          <w:bottom w:w="0" w:type="dxa"/>
          <w:right w:w="0" w:type="dxa"/>
        </w:tblCellMar>
      </w:tblPr>
      <w:tblGrid>
        <w:gridCol w:w="1751"/>
        <w:gridCol w:w="146"/>
        <w:gridCol w:w="1051"/>
        <w:gridCol w:w="146"/>
        <w:gridCol w:w="1171"/>
        <w:gridCol w:w="146"/>
        <w:gridCol w:w="1291"/>
        <w:gridCol w:w="146"/>
        <w:gridCol w:w="1096"/>
        <w:gridCol w:w="146"/>
        <w:gridCol w:w="286"/>
        <w:gridCol w:w="1366"/>
        <w:gridCol w:w="146"/>
        <w:gridCol w:w="286"/>
        <w:gridCol w:w="1366"/>
        <w:gridCol w:w="146"/>
        <w:gridCol w:w="646"/>
        <w:gridCol w:w="316"/>
      </w:tblGrid>
      <w:tr>
        <w:trPr/>
        <w:tc>
          <w:tcPr>
            <w:tcW w:w="17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COMPANY/INVESTMENT</w:t>
            </w:r>
            <w:r>
              <w:rPr>
                <w:rFonts w:ascii="Times New Roman PS Std;serif" w:hAnsi="Times New Roman PS Std;serif"/>
                <w:b/>
                <w:i w:val="false"/>
                <w:caps w:val="false"/>
                <w:smallCaps w:val="false"/>
                <w:sz w:val="8"/>
              </w:rPr>
              <w:t>(1)(20)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PORTFOLIO </w:t>
              <w:br/>
              <w:t xml:space="preserve">COMPANY </w:t>
              <w:br/>
              <w:t>ADDRESS</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PERCENTAGE </w:t>
              <w:br/>
              <w:t xml:space="preserve">OF CLASS </w:t>
              <w:br/>
              <w:t>HELD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ACQUISITION </w:t>
              <w:br/>
              <w:t>DATE</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PRINCIPAL </w:t>
              <w:br/>
              <w:t>AMOUNT/</w:t>
              <w:br/>
              <w:t>SHARES</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COST</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FAIR </w:t>
              <w:br/>
              <w:t>VALUE</w:t>
            </w:r>
            <w:r>
              <w:rPr>
                <w:rFonts w:ascii="Times New Roman PS Std;serif" w:hAnsi="Times New Roman PS Std;serif"/>
                <w:b/>
                <w:i w:val="false"/>
                <w:caps w:val="false"/>
                <w:smallCaps w:val="false"/>
                <w:sz w:val="8"/>
              </w:rPr>
              <w:t>(2)</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4"/>
              </w:rPr>
              <w:t xml:space="preserve">% of </w:t>
              <w:br/>
              <w:t>Net</w:t>
              <w:br/>
              <w:t>Assets</w:t>
            </w:r>
            <w:r>
              <w:rPr>
                <w:rFonts w:ascii="Times New Roman PS Std;serif" w:hAnsi="Times New Roman PS Std;serif"/>
                <w:b/>
                <w:i w:val="false"/>
                <w:caps w:val="false"/>
                <w:smallCaps w:val="false"/>
                <w:sz w:val="8"/>
              </w:rPr>
              <w:t>(10)</w:t>
            </w:r>
          </w:p>
        </w:tc>
      </w:tr>
      <w:tr>
        <w:trPr/>
        <w:tc>
          <w:tcPr>
            <w:tcW w:w="1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Common Stock</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IT Consulting</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UniTek Global Services, Inc.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common equity</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1817 Crane Ridge Drive, Suite 500 Jackson, MS 39216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January 13, 2015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1,244,188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684,960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IT Consulting</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684,960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0.0</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Telecommunication Services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ConvergeOne Holdings, Inc.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common equity</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10900 Nesbitt Avenue South, Bloomington, MN 55437</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8, 2024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95,775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1,349,602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359,156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Telecommunication Services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1,349,602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359,156</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0.2</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Common Stock</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2,034,562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359,156</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0.2</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Simple Agreements for Future Equity (“SAFE”)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Artificial Intelligence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Infinity Constellation Inc.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SAFE Investment</w:t>
            </w:r>
            <w:r>
              <w:rPr>
                <w:rFonts w:ascii="Times New Roman PS Std;serif" w:hAnsi="Times New Roman PS Std;serif"/>
                <w:b w:val="false"/>
                <w:i w:val="false"/>
                <w:caps w:val="false"/>
                <w:smallCaps w:val="false"/>
                <w:sz w:val="12"/>
              </w:rPr>
              <w:t>(7)(27)</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 Broadway, Suite 12-443</w:t>
            </w:r>
          </w:p>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New York, NY 10004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25, 2025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4,000,000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Artificial Intelligence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4,000,000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2.8</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SAFE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4,000,000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4,000,000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2.8</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Warrants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Healthcare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Careismatic Brands, Inc. (f/k/a New Trojan Parent, Inc.)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common equity warrants (June 13, 2029 expiry, </w:t>
              <w:br/>
              <w:t>$119.80 strike)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9800 De Soto Ave, Chatsworth, CA 91311</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13, 2024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Healthcare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0.0</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Warrants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0.0</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Preferred Stock</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IT Consulting</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UniTek Global Services, Inc.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Series B Preferred Stock</w:t>
            </w:r>
            <w:r>
              <w:rPr>
                <w:rFonts w:ascii="Times New Roman PS Std;serif" w:hAnsi="Times New Roman PS Std;serif"/>
                <w:b w:val="false"/>
                <w:i w:val="false"/>
                <w:caps w:val="false"/>
                <w:smallCaps w:val="false"/>
                <w:sz w:val="12"/>
              </w:rPr>
              <w:t>(17)</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1817 Crane Ridge Drive, Suite 500 Jackson, MS 39216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26, 2019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21,427,212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9,002,159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Series B Senior Preferred </w:t>
              <w:br/>
              <w:t>Stock</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26, 2019</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12,080,847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4,535,443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Series B Super Senior Preferred Stock</w:t>
            </w:r>
            <w:r>
              <w:rPr>
                <w:rFonts w:ascii="Times New Roman PS Std;serif" w:hAnsi="Times New Roman PS Std;serif"/>
                <w:b w:val="false"/>
                <w:i w:val="false"/>
                <w:caps w:val="false"/>
                <w:smallCaps w:val="false"/>
                <w:sz w:val="12"/>
              </w:rPr>
              <w:t>(3)(17)(21)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26, 2019</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7,863,657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5,006,790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IT Consulting</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16,129,626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5,006,790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3.4</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Preferred Stock</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16,129,626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5,006,790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3.4</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Total Investments in Securities</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390,403,599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251,731,345</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173.1</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u w:val="single"/>
              </w:rPr>
            </w:pPr>
            <w:r>
              <w:rPr>
                <w:rFonts w:ascii="Times New Roman PS Std;serif" w:hAnsi="Times New Roman PS Std;serif"/>
                <w:b/>
                <w:i w:val="false"/>
                <w:caps w:val="false"/>
                <w:smallCaps w:val="false"/>
                <w:sz w:val="16"/>
                <w:u w:val="single"/>
              </w:rPr>
              <w:t>Cash Equivalents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First American Government Obligations Fund – Class Z Shares, </w:t>
              <w:br/>
              <w:t>3.64%</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First American Funds P.O. Box 1330 Minneapolis, MN 55440-1330</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51,236,068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51,236,068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51,236,068</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Cash Equivalents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51,236,068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51,236,068</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35.2</w:t>
            </w:r>
          </w:p>
        </w:tc>
        <w:tc>
          <w:tcPr>
            <w:tcW w:w="31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Investments in Securities and Cash Equivalents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441,639,667</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302,967,413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208.3</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Company.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December 31, 2025, the portfolio includes approximately $34.0 million of principal amount of debt investments and 7,863,657 shares of preferred stock investments which contain an active payment-in-kind (“PIK”) provision.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Notes bear interest at variable rates and are subject to an interest rate floor where disclosed. The rate disclosed is as of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original issue discount or market discount, or amortization of premium.</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Cost value reflects repayment of principal.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Non-income producing as of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Aggregate gross unrealized appreciation for U.S. federal income tax purposes is $3,199,699; aggregate gross unrealized depreciation for U.S. federal income tax purposes is $147,160,305. Net unrealized depreciation is $143,960,606 based upon an estimated tax cost basis of $395,691,951 as of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Cost reflects accretion of effective yield less any cash distributions received or entitled to be received from collateralized loan obligation (“CLO”) equity investments.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Totals may not sum due to rounding.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December 31, 2025, the Company held qualifying assets that represented 68.8% of its total assets.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Investment not domiciled in the United States.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Fair value includes the Company’s interest in subordinated fee notes and represents discounted cash flows associated with fees earned from CLO equity investments.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Aggregate investments represent greater than 5% of net assets.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The principal balance outstanding for this investment, in whole or in part, is indexed to 90-day SOFR.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As of December 31, 2025, this preferred equity investment was on non-accrual status and no dividend income has been recognized on this investment during the year ended December 31, 2025. The aggregate fair value of these investments was approximately $5.0 million.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Represents cash equivalents held in a money market fund as of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The fair value of the investment was determined using significant unobservable inputs.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The Company holds preferred stock in UniTek Global Services, Inc. that is entitled to receive cumulative preferential dividends at a rate of 20.0% per annum payable in additional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The investment is co-invested with the Company’s affiliates.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principal balance outstanding for this investment, in whole or in part, is indexed to 30-day SOFR.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Cost value reflects amortization.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As of December 31, 2025,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principal balance outstanding for this investment is indexed to the greater of: (i) the federal funds rate, plus 0.50%; (ii) the prime lending rate; or (iii) the adjusted eurocurrency rate, plus 1.00%. The principal balance outstanding is also subject to a 2.00% annual PIK penalty, as the senior secured notes are past maturity.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Company’s SAFE investment in Infinity Constellation Inc. is not debt (no stated interest or maturity) and provides the right to receive equity in the future upon a qualifying equity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21"/>
      <w:bookmarkEnd w:id="13"/>
      <w:r>
        <w:rPr>
          <w:rFonts w:ascii="Times New Roman PS Std;serif" w:hAnsi="Times New Roman PS Std;serif"/>
          <w:b/>
          <w:i w:val="false"/>
          <w:caps w:val="false"/>
          <w:smallCaps w:val="false"/>
          <w:sz w:val="20"/>
        </w:rPr>
        <w:t xml:space="preserve">PORTFOLIO MANAGEMENT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our investment portfolio is the responsibility of Oxford Square Management, and our investment adviser’s investment committee, which currently consists of Jonathan H. Cohen, our Chief Executive Officer and Saul B. Rosenthal, our President and Chief Operating Officer. Our investment adviser’s Investment Committee must approve each new investment that we make. The members of our investment adviser’s Investment Committee are not employed by us and receive no compensation from us in connection with their portfolio management activities. Messrs. Cohen and Rosenthal, through their ownership of Oxford Funds, the managing member of Oxford Square Management, are entitled to a portion of any investment advisory fees paid by OXSQ to Oxford Square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Oxford Square Management currently provides portfolio management services only to us, we do not believe there are any conflicts of interest with respect to Oxford Square Management’s management of our portfolio on the one hand, and the management of other accounts or investment vehicles by affiliates of Oxford Square Management on the other. However, Mr. Cohen serves as Chief Executive Officer and Mr. Rosenthal serves as President of Oxford Lane Capital Corp., a non-diversified closed-end management investment company. Oxford Funds is the managing member of Oxford Lane Management, LLC (“Oxford Lane Management”), the investment adviser for Oxford Lane Capital Corp. Since 2018, Mr. Cohen has also served as the Chief Executive Officer of Oxford Gate Management, LLC (“Oxford Gate Management”), the investment adviser to Oxford Gate Master Fund, LLC, Oxford Gate, LLC and Oxford Gate (Bermuda), LLC (collectively, the “Oxford Gate Funds”) and Oxford Bridge II, LLC. Oxford Bridge II, LLC and the Oxford Gate Funds are private investment funds. Mr. Rosenthal has also served as President of Oxford Gate Management, the investment adviser to the Oxford Gate Funds and Oxford Bridge II, LLC, since 2018. Since 2023, Mr. Cohen has also served as Chief Executive Officer of Oxford Park Income Fund, Inc., a non-diversified closed-end management investment company, and Oxford Park Management, LLC (“Oxford Park Management”), Oxford Park Income Fund, Inc.’s investment adviser, and Mr. Rosenthal has served as President of Oxford Park Income Fund, Inc. and Oxford Park Management since 2023. Mr. Cohen also serves on our Board of Directors, as well as the boards of directors of Oxford Lane Capital Corp. and Oxford Park Income Fund, Inc., and Mr. Rosenthal also serves on the boards of directors of Oxford Lane Capital Corp. and Oxford Park Income Fund, Inc. As a result, certain conflicts of interest may arise with respect to the management of our portfolio by Messrs. Cohen and Rosenthal on the one hand, and the obligations of Messrs. Cohen and Rosenthal to manage Oxford Lane Capital Corp., Oxford Park Income Fund, Inc., Oxford Bridge II, LLC and the Oxford Gate Funds, respectively, on the other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additional information regarding the additional entities that are managed by Messrs. Cohen and Rosenthal:</w:t>
      </w:r>
    </w:p>
    <w:tbl>
      <w:tblPr>
        <w:tblW w:w="10205" w:type="dxa"/>
        <w:jc w:val="left"/>
        <w:tblInd w:w="0" w:type="dxa"/>
        <w:tblLayout w:type="fixed"/>
        <w:tblCellMar>
          <w:top w:w="0" w:type="dxa"/>
          <w:left w:w="0" w:type="dxa"/>
          <w:bottom w:w="0" w:type="dxa"/>
          <w:right w:w="0" w:type="dxa"/>
        </w:tblCellMar>
      </w:tblPr>
      <w:tblGrid>
        <w:gridCol w:w="1519"/>
        <w:gridCol w:w="146"/>
        <w:gridCol w:w="2496"/>
        <w:gridCol w:w="146"/>
        <w:gridCol w:w="3547"/>
        <w:gridCol w:w="146"/>
        <w:gridCol w:w="286"/>
        <w:gridCol w:w="1546"/>
        <w:gridCol w:w="373"/>
      </w:tblGrid>
      <w:tr>
        <w:trPr/>
        <w:tc>
          <w:tcPr>
            <w:tcW w:w="15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24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Entity</w:t>
            </w:r>
          </w:p>
        </w:tc>
        <w:tc>
          <w:tcPr>
            <w:tcW w:w="146" w:type="dxa"/>
            <w:tcBorders/>
            <w:vAlign w:val="bottom"/>
          </w:tcPr>
          <w:p>
            <w:pPr>
              <w:pStyle w:val="TableContents"/>
              <w:bidi w:val="0"/>
              <w:spacing w:before="0" w:after="283"/>
              <w:jc w:val="left"/>
              <w:rPr/>
            </w:pPr>
            <w:r>
              <w:rPr/>
              <w:t> </w:t>
            </w:r>
          </w:p>
        </w:tc>
        <w:tc>
          <w:tcPr>
            <w:tcW w:w="35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 Focus</w:t>
            </w:r>
          </w:p>
        </w:tc>
        <w:tc>
          <w:tcPr>
            <w:tcW w:w="146" w:type="dxa"/>
            <w:tcBorders/>
            <w:vAlign w:val="bottom"/>
          </w:tcPr>
          <w:p>
            <w:pPr>
              <w:pStyle w:val="TableContents"/>
              <w:bidi w:val="0"/>
              <w:spacing w:before="0" w:after="283"/>
              <w:jc w:val="left"/>
              <w:rPr/>
            </w:pPr>
            <w:r>
              <w:rPr/>
              <w:t> </w:t>
            </w:r>
          </w:p>
        </w:tc>
        <w:tc>
          <w:tcPr>
            <w:tcW w:w="220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Assets(1)</w:t>
            </w:r>
          </w:p>
        </w:tc>
      </w:tr>
      <w:tr>
        <w:trPr/>
        <w:tc>
          <w:tcPr>
            <w:tcW w:w="151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Lane Capital Corp.</w:t>
            </w:r>
          </w:p>
        </w:tc>
        <w:tc>
          <w:tcPr>
            <w:tcW w:w="146" w:type="dxa"/>
            <w:tcBorders/>
            <w:shd w:fill="CCEEFF" w:val="clear"/>
          </w:tcPr>
          <w:p>
            <w:pPr>
              <w:pStyle w:val="TableContents"/>
              <w:bidi w:val="0"/>
              <w:spacing w:before="0" w:after="283"/>
              <w:jc w:val="left"/>
              <w:rPr/>
            </w:pPr>
            <w:r>
              <w:rPr/>
              <w:t> </w:t>
            </w:r>
          </w:p>
        </w:tc>
        <w:tc>
          <w:tcPr>
            <w:tcW w:w="249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Closed-end management investment company</w:t>
            </w:r>
          </w:p>
        </w:tc>
        <w:tc>
          <w:tcPr>
            <w:tcW w:w="146" w:type="dxa"/>
            <w:tcBorders/>
            <w:shd w:fill="CCEEFF" w:val="clear"/>
          </w:tcPr>
          <w:p>
            <w:pPr>
              <w:pStyle w:val="TableContents"/>
              <w:bidi w:val="0"/>
              <w:spacing w:before="0" w:after="283"/>
              <w:jc w:val="left"/>
              <w:rPr/>
            </w:pPr>
            <w:r>
              <w:rPr/>
              <w:t> </w:t>
            </w:r>
          </w:p>
        </w:tc>
        <w:tc>
          <w:tcPr>
            <w:tcW w:w="3547"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and equity investments in CLO vehicles and other structured corporate debt</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2,312,519,870</w:t>
            </w:r>
          </w:p>
        </w:tc>
        <w:tc>
          <w:tcPr>
            <w:tcW w:w="373"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9"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Park Income Fund, Inc.</w:t>
            </w:r>
          </w:p>
        </w:tc>
        <w:tc>
          <w:tcPr>
            <w:tcW w:w="146" w:type="dxa"/>
            <w:tcBorders/>
          </w:tcPr>
          <w:p>
            <w:pPr>
              <w:pStyle w:val="TableContents"/>
              <w:bidi w:val="0"/>
              <w:spacing w:before="0" w:after="283"/>
              <w:jc w:val="left"/>
              <w:rPr/>
            </w:pPr>
            <w:r>
              <w:rPr/>
              <w:t> </w:t>
            </w:r>
          </w:p>
        </w:tc>
        <w:tc>
          <w:tcPr>
            <w:tcW w:w="24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Closed-end management investment company</w:t>
            </w:r>
          </w:p>
        </w:tc>
        <w:tc>
          <w:tcPr>
            <w:tcW w:w="146" w:type="dxa"/>
            <w:tcBorders/>
          </w:tcPr>
          <w:p>
            <w:pPr>
              <w:pStyle w:val="TableContents"/>
              <w:bidi w:val="0"/>
              <w:spacing w:before="0" w:after="283"/>
              <w:jc w:val="left"/>
              <w:rPr/>
            </w:pPr>
            <w:r>
              <w:rPr/>
              <w:t> </w:t>
            </w:r>
          </w:p>
        </w:tc>
        <w:tc>
          <w:tcPr>
            <w:tcW w:w="354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and equity investments in CLO vehicles and other structured corporate debt</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71,227,280</w:t>
            </w:r>
          </w:p>
        </w:tc>
        <w:tc>
          <w:tcPr>
            <w:tcW w:w="373"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9"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Gate Master Fund, LLC</w:t>
            </w:r>
          </w:p>
        </w:tc>
        <w:tc>
          <w:tcPr>
            <w:tcW w:w="146" w:type="dxa"/>
            <w:tcBorders/>
            <w:shd w:fill="CCEEFF" w:val="clear"/>
          </w:tcPr>
          <w:p>
            <w:pPr>
              <w:pStyle w:val="TableContents"/>
              <w:bidi w:val="0"/>
              <w:spacing w:before="0" w:after="283"/>
              <w:jc w:val="left"/>
              <w:rPr/>
            </w:pPr>
            <w:r>
              <w:rPr/>
              <w:t> </w:t>
            </w:r>
          </w:p>
        </w:tc>
        <w:tc>
          <w:tcPr>
            <w:tcW w:w="249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fund</w:t>
            </w:r>
          </w:p>
        </w:tc>
        <w:tc>
          <w:tcPr>
            <w:tcW w:w="146" w:type="dxa"/>
            <w:tcBorders/>
            <w:shd w:fill="CCEEFF" w:val="clear"/>
          </w:tcPr>
          <w:p>
            <w:pPr>
              <w:pStyle w:val="TableContents"/>
              <w:bidi w:val="0"/>
              <w:spacing w:before="0" w:after="283"/>
              <w:jc w:val="left"/>
              <w:rPr/>
            </w:pPr>
            <w:r>
              <w:rPr/>
              <w:t> </w:t>
            </w:r>
          </w:p>
        </w:tc>
        <w:tc>
          <w:tcPr>
            <w:tcW w:w="3547"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debt and equity</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46"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90,938,440</w:t>
            </w:r>
          </w:p>
        </w:tc>
        <w:tc>
          <w:tcPr>
            <w:tcW w:w="37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gross assets as of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the gross assets of Oxford Gate, LLC and Oxford Gate (Bermuda), LLC.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adviser is led by Jonathan H. Cohen, our Chief Executive Officer, and Saul B. Rosenthal, our President and Chief Operating Officer. We consider Messrs. Cohen and Rosenthal, who are the members of our investment adviser’s Investment Committee, to be our portfolio managers.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dollar range of shares of common stock owned by each of our portfolio managers as of December 31, 2025.</w:t>
      </w:r>
    </w:p>
    <w:tbl>
      <w:tblPr>
        <w:tblW w:w="5143" w:type="dxa"/>
        <w:jc w:val="left"/>
        <w:tblInd w:w="0" w:type="dxa"/>
        <w:tblLayout w:type="fixed"/>
        <w:tblCellMar>
          <w:top w:w="0" w:type="dxa"/>
          <w:left w:w="0" w:type="dxa"/>
          <w:bottom w:w="0" w:type="dxa"/>
          <w:right w:w="0" w:type="dxa"/>
        </w:tblCellMar>
      </w:tblPr>
      <w:tblGrid>
        <w:gridCol w:w="2911"/>
        <w:gridCol w:w="146"/>
        <w:gridCol w:w="2086"/>
      </w:tblGrid>
      <w:tr>
        <w:trPr/>
        <w:tc>
          <w:tcPr>
            <w:tcW w:w="29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Portfolio Manager</w:t>
            </w:r>
          </w:p>
        </w:tc>
        <w:tc>
          <w:tcPr>
            <w:tcW w:w="146" w:type="dxa"/>
            <w:tcBorders/>
            <w:vAlign w:val="bottom"/>
          </w:tcPr>
          <w:p>
            <w:pPr>
              <w:pStyle w:val="TableContents"/>
              <w:bidi w:val="0"/>
              <w:spacing w:before="0" w:after="283"/>
              <w:jc w:val="left"/>
              <w:rPr/>
            </w:pPr>
            <w:r>
              <w:rPr/>
              <w:t> </w:t>
            </w:r>
          </w:p>
        </w:tc>
        <w:tc>
          <w:tcPr>
            <w:tcW w:w="20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Dollar Range of </w:t>
              <w:br/>
              <w:t xml:space="preserve">Equity Securities </w:t>
              <w:br/>
              <w:t xml:space="preserve">in Oxford Square </w:t>
              <w:br/>
              <w:t>Capital Corp.(1)(2)</w:t>
            </w:r>
          </w:p>
        </w:tc>
      </w:tr>
      <w:tr>
        <w:trPr/>
        <w:tc>
          <w:tcPr>
            <w:tcW w:w="291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H. Cohen</w:t>
            </w:r>
          </w:p>
        </w:tc>
        <w:tc>
          <w:tcPr>
            <w:tcW w:w="146" w:type="dxa"/>
            <w:tcBorders/>
            <w:shd w:fill="CCEEFF" w:val="clear"/>
          </w:tcPr>
          <w:p>
            <w:pPr>
              <w:pStyle w:val="TableContents"/>
              <w:bidi w:val="0"/>
              <w:spacing w:before="0" w:after="283"/>
              <w:jc w:val="left"/>
              <w:rPr/>
            </w:pPr>
            <w:r>
              <w:rPr/>
              <w:t> </w:t>
            </w:r>
          </w:p>
        </w:tc>
        <w:tc>
          <w:tcPr>
            <w:tcW w:w="20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$1,000,000</w:t>
            </w:r>
          </w:p>
        </w:tc>
      </w:tr>
      <w:tr>
        <w:trPr/>
        <w:tc>
          <w:tcPr>
            <w:tcW w:w="291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B. Rosenthal</w:t>
            </w:r>
          </w:p>
        </w:tc>
        <w:tc>
          <w:tcPr>
            <w:tcW w:w="146" w:type="dxa"/>
            <w:tcBorders/>
          </w:tcPr>
          <w:p>
            <w:pPr>
              <w:pStyle w:val="TableContents"/>
              <w:bidi w:val="0"/>
              <w:spacing w:before="0" w:after="283"/>
              <w:jc w:val="left"/>
              <w:rPr/>
            </w:pPr>
            <w:r>
              <w:rPr/>
              <w:t> </w:t>
            </w:r>
          </w:p>
        </w:tc>
        <w:tc>
          <w:tcPr>
            <w:tcW w:w="20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Dollar ranges are as follows: None, $1 – $10,000, $10,001 – $50,000, $50,001 – $100,000, $100,001 – $500,000; $500,001 – $1,000,000 or Over $1,000,000.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dollar range of equity securities beneficially owned in us is based on the closing price for our common stock of $1.91 on April 14, 2026 on the NASDAQ Global Select Market. Beneficial ownership has been determined in accordance with Rule 16a-1(a)(2)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information pertains to the members of Oxford Square Management’s investment team who are not executive officers of OXSQ: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Kevin P. Yonon</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Mr. Yonon is a Managing Director, Portfolio Manager of Oxford Square Management, and also holds the same position at Oxford Lane Management, Oxford Gate Management and Oxford Park Management. Previously, Mr. Yonon was an Associate at Deutsche Bank Securities and prior to that he was an Analyst at Blackstone Mezzanine Partners. Before joining Blackstone, he worked as an Analyst at Merrill Lynch in the Mergers &amp; Acquisitions group. Mr. Yonon received a B.S. in Economics with concentrations in Finance and Accounting from the Wharton School at the University of Pennsylvania, where he graduated magna cum laude, and an M.B.A. from the Harvard Business School.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Joseph Kupka.    </w:t>
      </w:r>
      <w:r>
        <w:rPr>
          <w:rFonts w:ascii="Times New Roman PS Std;serif" w:hAnsi="Times New Roman PS Std;serif"/>
          <w:b w:val="false"/>
          <w:i w:val="false"/>
          <w:caps w:val="false"/>
          <w:smallCaps w:val="false"/>
          <w:sz w:val="20"/>
        </w:rPr>
        <w:t>Mr. Kupka is a Managing Director of Oxford Square Management, and also holds the same position at Oxford Lane Management, Oxford Gate Management and Oxford Park Management. Previously, he worked as a risk analyst for First Equity Card Corporation. He has a B.S. in Mechanical Engineering from the University of Pennsylvania, where he was the Abel and Bernstein Class of 1945 Scholarship Recipient.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Hooman Banafsheha.    </w:t>
      </w:r>
      <w:r>
        <w:rPr>
          <w:rFonts w:ascii="Times New Roman PS Std;serif" w:hAnsi="Times New Roman PS Std;serif"/>
          <w:b w:val="false"/>
          <w:i w:val="false"/>
          <w:caps w:val="false"/>
          <w:smallCaps w:val="false"/>
          <w:sz w:val="20"/>
        </w:rPr>
        <w:t>Mr. Banafsheha is a Principal of Oxford Square Management, and also holds the same position at Oxford Lane Management, Oxford Gate Management and Oxford Park Management. Previously, Mr. Banafsheha was a Vice President in the Finance division of Goldman Sachs. Prior to joining Goldman Sachs, he was a Senior Consultant at Deloitte. Mr. Banafsheha received a B.S. in Business Administration with a concentration in Finance from the State University of New York, University at Albany, where he graduated magna cum laude, and an M.B.A. from the MIT Sloan School of Management. Mr. Banafsheha has also attained the Charted Alternative Investment Analyst (CAIA) designation.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Brian Aleska.    </w:t>
      </w:r>
      <w:r>
        <w:rPr>
          <w:rFonts w:ascii="Times New Roman PS Std;serif" w:hAnsi="Times New Roman PS Std;serif"/>
          <w:b w:val="false"/>
          <w:i w:val="false"/>
          <w:caps w:val="false"/>
          <w:smallCaps w:val="false"/>
          <w:sz w:val="20"/>
        </w:rPr>
        <w:t>Mr. Aleksa is a Vice President for Oxford Square Management, and also holds the same position at Oxford Lane Management, Oxford Gate Management and Oxford Park Management. Previously, Mr. Aleksa was a Senior Analyst in the Capital Markets group at CBA Commercial. He received a B.A. in Accounting and Finance from Franklin &amp; Marshall College. Mr. Aleksa is also a CFA charterholder.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Tyler Vallie.    </w:t>
      </w:r>
      <w:r>
        <w:rPr>
          <w:rFonts w:ascii="Times New Roman PS Std;serif" w:hAnsi="Times New Roman PS Std;serif"/>
          <w:b w:val="false"/>
          <w:i w:val="false"/>
          <w:caps w:val="false"/>
          <w:smallCaps w:val="false"/>
          <w:sz w:val="20"/>
        </w:rPr>
        <w:t>Mr. Vallie is an Associate for Oxford Square Management, and also holds the same position at Oxford Lane Management, Oxford Gate Management and Oxford Park Management. Previously, Mr. Vallie was an Operations Associate on the Operations team at Chilton Investment Company. He received a B.A. in Economics from Marist College.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Oxford Square Management’s investment personnel receive any direct compensation from us in connection with the management of our portfolio. Messrs. Cohen and Rosenthal, through their ownership interest in Oxford Funds, the managing member of Oxford Square Management, are entitled to a portion of any profits earned by Oxford Square Management, which includes any fees payable to Oxford Square Management under the terms of the Investment Advisory Agreement, less expenses incurred by Oxford Square Management in performing its services under the Investment Advisory Agreement. Messrs. Cohen and Rosenthal do not receive any additional compensation from Oxford Square Management in connection with the management of our portfolio. The compensation paid by Oxford Square Management to its other investment personnel includes: (i) annual base salary and (ii) portfolio-based performance award.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20"/>
      <w:bookmarkEnd w:id="14"/>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sections titled “Proposal 1: Election of Director” and “Corporate Governance” in our most recent definitive proxy statement on </w:t>
      </w:r>
      <w:hyperlink r:id="rId11">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filed with the SEC on July 8, 2025, for our annual meeting of stockholders (the “Annual Proxy Statement”) and the information in Part III, Item 10 “Directors, Executive Officers and Corporate Governance” in our most recent Annual Report on </w:t>
      </w:r>
      <w:hyperlink r:id="rId12">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9"/>
      <w:bookmarkEnd w:id="15"/>
      <w:r>
        <w:rPr>
          <w:rFonts w:ascii="Times New Roman PS Std;serif" w:hAnsi="Times New Roman PS Std;serif"/>
          <w:b/>
          <w:i w:val="false"/>
          <w:caps w:val="false"/>
          <w:smallCaps w:val="false"/>
          <w:sz w:val="20"/>
        </w:rPr>
        <w:t xml:space="preserve">MANAGEMENT AND OTHER AGREEMENTS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sections titled “Investment Advisory Agreement” and “Administration Agreement,” in Part I, Item 1 “Business” of our most recent Annual Report on </w:t>
      </w:r>
      <w:hyperlink r:id="rId13">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8"/>
      <w:bookmarkEnd w:id="16"/>
      <w:r>
        <w:rPr>
          <w:rFonts w:ascii="Times New Roman PS Std;serif" w:hAnsi="Times New Roman PS Std;serif"/>
          <w:b/>
          <w:i w:val="false"/>
          <w:caps w:val="false"/>
          <w:smallCaps w:val="false"/>
          <w:sz w:val="20"/>
        </w:rPr>
        <w:t xml:space="preserve">RELATED-PARTY TRANSACTIONS AND CERTAIN RELATIONSHIPS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 titled “Transactions with Related Persons” in our most recent Annual Proxy Statement and the section titled “Transactions with Related Persons” in Part III, Item 13 “Certain Relationships and Related Transactions, and Director Independence” in our most recent Annual Report on </w:t>
      </w:r>
      <w:hyperlink r:id="rId14">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7"/>
      <w:bookmarkEnd w:id="17"/>
      <w:r>
        <w:rPr>
          <w:rFonts w:ascii="Times New Roman PS Std;serif" w:hAnsi="Times New Roman PS Std;serif"/>
          <w:b/>
          <w:i w:val="false"/>
          <w:caps w:val="false"/>
          <w:smallCaps w:val="false"/>
          <w:sz w:val="20"/>
        </w:rPr>
        <w:t xml:space="preserve">CONTROL PERSONS AND PRINCIPAL SHAREHOLDERS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in the sections titled “Proposal 1: Election of Director” and “Security Ownership of Certain Beneficial Owners and Management” in our most recent Annual Proxy Statement on </w:t>
      </w:r>
      <w:hyperlink r:id="rId15">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xml:space="preserve">, filed with the SEC on July 8, 2025, and the information in the section titled “Director and Executive Officer Information” in Part III, Item 10 “Directors, Executive Officers and Corporate Governance” and the information in Part III, Item 12 “Security Ownership of Certain Beneficial Owners and Management and Related Stockholder Matters” in our most recent Annual Report on </w:t>
      </w:r>
      <w:hyperlink r:id="rId16">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6"/>
      <w:bookmarkEnd w:id="18"/>
      <w:r>
        <w:rPr>
          <w:rFonts w:ascii="Times New Roman PS Std;serif" w:hAnsi="Times New Roman PS Std;serif"/>
          <w:b/>
          <w:i w:val="false"/>
          <w:caps w:val="false"/>
          <w:smallCaps w:val="false"/>
          <w:sz w:val="20"/>
        </w:rPr>
        <w:t xml:space="preserve">DETERMINATION OF NET ASSET VALUE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determine the net asset value per share of our common stock quarterly, or more frequently if required under the 1940 Act, by dividing the value of total assets minus liabilities by the total number of shares outstanding. The information in the section titled “Critical Accounting Estimates — Investment Valuation” in Part I, Item 2 “Management’s Discussion and Analysis of Financial Condition and Results of Operations” and in “Note 3 — Summary of Significant Accounting Policies — Investment Valuation” in our financial statements, each in our most recent Annual Report on Form 10-K for the fiscal year ended December 31, 2025, filed with the SEC on March 6, 2026,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5"/>
      <w:bookmarkEnd w:id="19"/>
      <w:r>
        <w:rPr>
          <w:rFonts w:ascii="Times New Roman PS Std;serif" w:hAnsi="Times New Roman PS Std;serif"/>
          <w:b/>
          <w:i w:val="false"/>
          <w:caps w:val="false"/>
          <w:smallCaps w:val="false"/>
          <w:sz w:val="20"/>
        </w:rPr>
        <w:t xml:space="preserve">DISTRIBUTION REINVESTMENT PLAN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distribution reinvestment plan, through which all distributions (net of applicable withholding tax)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is required on the part of a registered stockholder to receive a distribution in shares of our common stock. A registered stockholder may elect to receive an entire distribution in cash by notifying Computershare Trust Company, N.A., the plan administrator and our transfer agent and registrar, in writing so that such notice is received by the plan administrator no later than 10 days prior to the record date 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Those stockholders whose shares are held by a broker or other financial intermediary may receive distributions in cash by notifying their broker or other financial intermediary of their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primarily newly 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commissions from the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may be terminated by us upon notice in writing mailed to each participant at least 30 days prior to any record date for the payment of any distribution by us. All correspondence concerning the plan should be directed to the plan administrator by mail at 250 Royall Street, Canton, MA 02021 or by phone at 1-800-426-5523.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77"/>
      <w:bookmarkEnd w:id="20"/>
      <w:r>
        <w:rPr>
          <w:rFonts w:ascii="Times New Roman PS Std;serif" w:hAnsi="Times New Roman PS Std;serif"/>
          <w:b/>
          <w:i w:val="false"/>
          <w:caps w:val="false"/>
          <w:smallCaps w:val="false"/>
          <w:sz w:val="20"/>
        </w:rPr>
        <w:t xml:space="preserve">CERTAIN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considerations applicable to us and to an investment in shares of our common stock.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shares of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is a beneficial owner of shares of our common stock who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citizen or individual resident of the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created or organized in or under the laws of the U.S.,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court within the U.S. is able to exercise primary supervision over the administration of the trust and one or more U.S. persons have the authority to control all substantive decisions of the trust;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generally is a beneficial owner of shares of our common stock who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nonresident alien individual;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foreign corporation;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or trust that in either case is not subject to U.S. federal income tax on a net income basis on income or gain from a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matters are very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to be Taxed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BDC, we have elected to be treated, and intend to qualify annually, as a RIC under Subchapter M of the Code, beginning with our 2003 taxable year. As a RIC, we generally will not be subject to U.S. federal income tax on any ordinary income or capital gains that we timely distribute to our stockholders as dividends. To continue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is generally our ordinary income plus the excess of our realized net short-term capital gains over our realized net long-term capital losses (the “Annual Distribution Requirement”).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qualify as a RIC, and satisfy the Annual Distribution Requirement, then we will not be subject to U.S. federal income tax on the portion of our investment company taxable income and net capital gain (i.e., realized net long-term capital gains in excess of realized net short-term capital losses) we timely distribute to stockholders. We will be subject to U.S. federal income tax at the regular corporate rates on any income or capital gains not distributed (or deemed distributed)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and net capital gain that we recognized in preceding years but were not distributed in such years, and on which we paid no U.S. federal income tax (the “Excise Tax Avoidance Requirement”). We generally will endeavor in each taxable year to make sufficient distributions to our stockholders to satisfy the Excise Tax Avoidance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as a RIC for U.S. federal income tax purposes, we must,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all times during each taxable year, be registered under the 1940 Act as a management company or unit investment trust, or have in effect an election under the 1940 Act to be treated as a BDC;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(the “90% Income Test”);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diversify our holdings so that at the end of each quarter of the taxable year: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more than 25% of the value of our assets is invested in (i) the securities, other than U.S. government securities or securities of other RICs, of any one issuer; (ii) the securities, other than securities of other RICs, of two or more issuers that are controlled, as determined under applicable Code rules, by us and that are engaged in the same or similar or related trades or businesses; or (iii) the securities of certain “qualified publicly traded partnerships” (the “Diversification Tests”).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or the Excise Tax Avoidance Requirement, even though we will not have received any corresponding cash amount. In addition, we may be required to accrue for U.S. federal income tax purposes amounts attributable to our investment in CLOs that may differ from the distributions received in respect of such investments. Although we do not presently expect to do so, we are authorized to borrow funds, to sell assets and to make taxable distributions of our stock and debt securities in order to satisfy distribution requirements.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If we are unable to obtain cash from other sources to satisfy the Annual Distribution Requirement, we may fail to qualify for tax treatment as a RIC and become subject to tax as a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are not permitted to make distributions to our stockholders while our debt obligations and other senior securities are outstanding unless certain “asset coverage” tests are met. If we are prohibited from making distributions, we may fail to qualify for tax treatment as a RIC and become subject to tax as an ordinary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purchased and may in the future purchase residual or subordinated interests in CLOs that are treated for U.S. federal income tax purposes as shares in a “passive foreign investment company” or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in an amount equal to any “excess distribution” or gain from the disposition of such shares as a taxable dividend by us to our stockholders. If we elect to treat a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shares during that year, and such income will nevertheless be subject to the Annual Distribution Requirement and will be taken into account for purposes of the Excise Tax Avoidance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hold 10% or more of the shares in a foreign corporation that is treated as a controlled foreign corporation or a CFC (including equity tranche investments in a CLO treated as a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This deemed distribution is required to be included in the income of a U.S. Stockholder (as defined below) of a CFC regardless of whether the stockholder has made a QEF election with respect to such CFC. In general, a foreign corporation will be classified as a CFC if more than 50% of the shares of the corporation, measured by reference to combined voting power or value, is owned (directly, indirectly or by attribution) by U.S. Stockholders. A “U.S. Stockholder,” for this purpose, is any U.S. person that possesses (actually or constructively) 10% or more of the combined voting power or value of all classes of shares of a foreign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the Excise Tax Avoidance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inclusions from a QEF or a CFC will be “good income” for purposes of the 90% Income Test provided that they are derived in connection with our business of investing in stocks and securities or the QEF or the CFC distributes such income to us out of its earnings and profits attributable to such income inclusion in the same taxable year to which the income is included in our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assumes that we qualify as a RIC and have satisfied the Annual Distribution Requirement.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stockholders taxed at individual rates are attributable to dividends from U.S. corporations and certain qualified foreign corporations, such distributions (“Qualifying Dividends”) may be eligible for a current maximum tax rate of 20%. In this regard, it is anticipated that distributions paid by us will generally not be attributable to dividends and, therefore, generally will not qualify for the current 20% maximum rate applicable to Qualifying Dividends. Distributions of our net capital gains (which are generally our realized net long-term capital gains in excess of realized net short-term capital losses) and properly reported by us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capital gain dividends” will be taxable to a U.S. stockholder as long-term capital gains that are currently taxable at a maximum rate of 20% in the case of stockholders taxed at individual rates,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distributions reported by us as Section 163(j) interest dividends may be treated as interest income by U.S. stockholders for purposes of the tax rules applicable to interest expense limitations under Section 163(j) of the Code. Such treatment by the U.S. stockholder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If the amount of tax that a U.S. stockholder is treated as having paid exceeds the amount of tax owed on the capital gain distribution, such excess generally may be refunded or claimed as a credit against the U.S. stockholder’s other U.S. federal income tax obligations. The amount of the deemed distribution net of such tax will be added to the U.S. stockholder’s cost basis for his, her or its common stock.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U.S. stockholder’s adjusted tax basis in the common stock sold and the amount of the proceeds received in exchange. Any gain or loss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U.S. stockholders taxed at individual rates currently are subject to a maximum U.S. federal income tax rate of 20% on their net capital gain (i.e., the excess of realized net long-term capital gains over realized net short-term capital losses), including any long-term capital gain derived from an investment in our shares. Such rate is lower than the maximum rate on ordinary income currently payable by such U.S. stockholders. In addition, individuals with modified adjusted gross incomes in excess of $200,000 ($250,000 in the case of married individuals filing jointly)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stockholders currently are subject to U.S. federal income tax on net capital gain at the maximum 21% rate also applied to ordinary income. Non-corporate U.S. stockholders with net capital losses for a year (i.e., capital losses in excess of capital gains) generally may deduct up to $3,000 of such losses against their ordinary income each year. Any net capital losses of a non-corporate U.S. stockholder in excess of $3,000 generally may be carried forward and used in subsequent years as provided in the Code. Corporate U.S. stockholders generally may not deduct any net capital losses for a year, but may carry back such losses for three years or carry forward such losses for five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Code requires reporting of adjusted cost basis information for covered securities, which generally include shares of a RIC, to the IRS and to taxpayers. U.S. stockholders should contact their financial intermediaries with respect to reporting of cost basis and available elections for their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will send to each of our U.S. stockholders, as promptly as possible after the end of each calendar year, a notice reporting the amounts includible in such U.S. stockholder’s taxable income for such year as ordinary income and as long-term capital gain. In addition, the U.S. federal tax status of each year’s distributions generally will be reported to the IRS (including the amount of dividends, if any, eligible for the current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may be required to withhold U.S. federal income tax (“backup withholding”) from all distributions to any U.S. stockholder (other than a corporation, a financial institution, or a stockholder that otherwise qualifies for an exemption) (1) who fails to furnish us, or the applicable withholding agent, with a correct taxpayer identification number or a certificate that such stockholder is exempt from backup withholding or (2) with respect to whom the IRS notifies us, or the applicable withholding agent, that such stockholder has failed to properly report certain interest and dividend income to the IRS and to respond to notices to that effect. An individual’s taxpayer identification number is his or her social security number. Any amount withheld under backup withholding is generally allowed as a credit against the U.S. stockholder’s U.S. federal income tax liability, provided that proper information is provided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stockholders that hold their common stock through foreign accounts or intermediaries will be subject to U.S. withholding tax at a rate of 30% on dividends if certain disclosure requirements related to U.S. accounts are not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Treasury regulations, if a U.S. stockholder recognizes a loss with respect to shares of $2 million or more for an individual U.S. stockholder or $10 million or more for a corporate U.S. stockholder, the U.S. stockholder must file with the IRS a disclosure statement on IRS Form 8886. Direct owners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U.S. stockholders should consult their tax advisors to determine the applicability of these regulations in light of their individual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 of Non-U.S.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are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or deemed distributions of our net capital gains to a Non-U.S. stockholder, and gains realized by a Non-U.S. stockholder upon the sale of our common stock, will not be subject to federal withholding tax and generally will not be subject to U.S. federal income tax unless the distributions or gains, as the case may be, are effectively connected with a U.S. trade or business of the Non-U.S.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to Non-U.S. stockholders entitled to claim the benefits of an applicable tax treaty or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to a U.S. trade or business may, under certain circumstances, be subject to an additional “branch profits tax” at a 30% rate (or at a lower rate if provided for by an applicable treaty). Accordingly, investment in the shares may not be appropriate for a Non-U.S.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stockholder who is a non-resident alien individual, and who is otherwise subject to withholding of federal tax, may be subject to information reporting and backup withholding of U.S. federal income tax on dividends unless the Non-U.S. stockholder provides us or the applicable withholding agent with an IRS Form W-8BEN or W-8BEN-E (or an acceptable substitute form) or otherwise meets documentary evidence requirements for establishing that it is a Non-U.S. stockholder or otherwise establishes an exemption from backup withholding. In addition, dividend reinvestments will be made net of any applicable U.S. withholding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stockholder and the status of the intermediaries through which they hold their shares, Non-U.S. stockholders could be subject to this 30% withholding tax with respect to distributions on their shares and proceeds from the sale of their shares. Under certain circumstances, a Non-U.S. stockholder might be eligible for refunds or credits of such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persons should consult their own tax advisers with respect to the U.S. federal income tax and withholding tax, and state, local and foreign tax consequences of an investment in the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Qualify as a RIC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unable to qualify for treatment as a RIC, and certain cure provisions are not met, we would be subject to tax on all of our taxable income at regular corporate rates, regardless of whether we make any distributions to our stockholders. Distributions would not be required, and any distributions made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adjusted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would be subject to tax on any unrealized net built-in gains in the assets held by us during the period in which we failed to qualify as a RIC that are recognized within the subsequent 5 years, unless we made a special election to pay U.S. federal income tax at corporate rates on such built-in gains at the time of our requalification as a RIC.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14"/>
      <w:bookmarkEnd w:id="21"/>
      <w:r>
        <w:rPr>
          <w:rFonts w:ascii="Times New Roman PS Std;serif" w:hAnsi="Times New Roman PS Std;serif"/>
          <w:b/>
          <w:i w:val="false"/>
          <w:caps w:val="false"/>
          <w:smallCaps w:val="false"/>
          <w:sz w:val="20"/>
        </w:rPr>
        <w:t xml:space="preserve">DESCRIPTION OF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a summary of the common stock, preferred stock, subscription rights, warrants and debt securities. These summaries are not meant to be a complete description of each security. However, this prospectus and any accompanying prospectus supplement will contain the material terms and conditions for each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13"/>
      <w:bookmarkEnd w:id="22"/>
      <w:r>
        <w:rPr>
          <w:rFonts w:ascii="Times New Roman PS Std;serif" w:hAnsi="Times New Roman PS Std;serif"/>
          <w:b/>
          <w:i w:val="false"/>
          <w:caps w:val="false"/>
          <w:smallCaps w:val="false"/>
          <w:sz w:val="20"/>
        </w:rPr>
        <w:t xml:space="preserve">DESCRIPTION OF OUR CAPITAL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based in part on relevant portions of the Maryland General Corporation Law and on our charter and bylaws. While this summary describes the material provisions of the Maryland General Corporation Law applicable to holders of our capital stock, as well as the material provisions of our charter and bylaws, it is not necessarily complete, and we refer you to the Maryland General Corporation Law and our charter and bylaws for a more detailed description of the provisions summarized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authorized capital stock consists of 100,000,000 shares of stock, par value $0.01 per share, all of which is initially designated as common stock. We have listed our common stock on the NASDAQ Global Select Market under the ticker symbol “OXSQ.” There are no outstanding options or warrants to purchase our stock. No stock has been authorized for issuance under any equity compensation plans. Under Maryland law, our stockholders generally are not personally liable for our debts or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our outstanding classes of our capital stock as of December 31, 2025:</w:t>
      </w:r>
    </w:p>
    <w:tbl>
      <w:tblPr>
        <w:tblW w:w="7222" w:type="dxa"/>
        <w:jc w:val="left"/>
        <w:tblInd w:w="0" w:type="dxa"/>
        <w:tblLayout w:type="fixed"/>
        <w:tblCellMar>
          <w:top w:w="0" w:type="dxa"/>
          <w:left w:w="0" w:type="dxa"/>
          <w:bottom w:w="0" w:type="dxa"/>
          <w:right w:w="0" w:type="dxa"/>
        </w:tblCellMar>
      </w:tblPr>
      <w:tblGrid>
        <w:gridCol w:w="1606"/>
        <w:gridCol w:w="146"/>
        <w:gridCol w:w="1366"/>
        <w:gridCol w:w="146"/>
        <w:gridCol w:w="1876"/>
        <w:gridCol w:w="146"/>
        <w:gridCol w:w="1936"/>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 </w:t>
              <w:br/>
              <w:t>Title of Class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 </w:t>
              <w:br/>
              <w:t xml:space="preserve">Amount </w:t>
              <w:br/>
              <w:t>Authorized</w:t>
            </w:r>
          </w:p>
        </w:tc>
        <w:tc>
          <w:tcPr>
            <w:tcW w:w="146" w:type="dxa"/>
            <w:tcBorders/>
            <w:vAlign w:val="bottom"/>
          </w:tcPr>
          <w:p>
            <w:pPr>
              <w:pStyle w:val="TableContents"/>
              <w:bidi w:val="0"/>
              <w:spacing w:before="0" w:after="283"/>
              <w:jc w:val="left"/>
              <w:rPr/>
            </w:pPr>
            <w:r>
              <w:rPr/>
              <w:t> </w:t>
            </w:r>
          </w:p>
        </w:tc>
        <w:tc>
          <w:tcPr>
            <w:tcW w:w="18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(3) </w:t>
              <w:br/>
              <w:t xml:space="preserve">Amount Held by </w:t>
              <w:br/>
              <w:t xml:space="preserve">Us or for our </w:t>
              <w:br/>
              <w:t>Account</w:t>
            </w:r>
          </w:p>
        </w:tc>
        <w:tc>
          <w:tcPr>
            <w:tcW w:w="146" w:type="dxa"/>
            <w:tcBorders/>
            <w:vAlign w:val="bottom"/>
          </w:tcPr>
          <w:p>
            <w:pPr>
              <w:pStyle w:val="TableContents"/>
              <w:bidi w:val="0"/>
              <w:spacing w:before="0" w:after="283"/>
              <w:jc w:val="left"/>
              <w:rPr/>
            </w:pPr>
            <w:r>
              <w:rP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(4) </w:t>
              <w:br/>
              <w:t xml:space="preserve">Amount </w:t>
              <w:br/>
              <w:t xml:space="preserve">Outstanding </w:t>
              <w:br/>
              <w:t xml:space="preserve">Exclusive of </w:t>
              <w:br/>
              <w:t xml:space="preserve">Amounts Shown </w:t>
              <w:br/>
              <w:t>Under (3)</w:t>
            </w:r>
          </w:p>
        </w:tc>
      </w:tr>
      <w:tr>
        <w:trPr/>
        <w:tc>
          <w:tcPr>
            <w:tcW w:w="1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100,000,000</w:t>
            </w:r>
          </w:p>
        </w:tc>
        <w:tc>
          <w:tcPr>
            <w:tcW w:w="146"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9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86,060,964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our common stock have equal rights as to earnings, assets, distributions and voting privileges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A plurality of all votes cast at a meeting of stockholders duly called and at which a quorum is present shall be sufficient to elect a director.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our Board of Directors to classify and reclassify any unissued shares of stock into other classes or series of stock, including preferred stock. Prior to issuance of shares of each class or series, our Board of Directors is required by Maryland law and by our charter to set the terms, preferences, conversion or other rights, voting powers, restrictions, limitations as to dividends or other distributions, qualifications and terms or conditions of redemption for each class or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full two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 However, we do not currently have any plans to issue preferred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on Liability of Directors and Officers; Indemnification and Advance of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Provisions of the Maryland General Corporation Law and Our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divided into three classes of directors serving staggered three-year terms.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currently provide that a plurality of all votes cast at a meeting of stockholders duly called and at which a quorum is present shall be sufficient to elect a director. Pursuant to our charter, our Board of Directors may amend our bylaws to alter the vote required to elect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Number of Directors; Vacancies;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the number of directors is set only by our Board of Directors in accordance with our bylaws. Our bylaws provide that a majority of our entire Board of Directors may at any time increase or decrease the number of directors. However, the number of directors may never be less than one nor more than twelve.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a director on a classified board may be removed only for cause and then only by the affirmative vote of at least a majority of the votes entitled to be cast in the election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Action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Maryland General Corporation Law provides that stockholder action can be taken only at an annual or special meeting of stockholders or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 Notice Provisions for Stockholder Nominations and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bylaws provide that with respect to an annual meeting of stockholders, nominations of persons for election to our Board of Directors and the proposal of business to be considered by stockholders may be made only (1) pursuant to our notice of the meeting, (2) by or at the direction of our Board of Directors or (3) by any stockholder who was a stockholder of record both at the time of giving of notice and at the time of the annual meeting,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our Board of Directors at a special meeting may be made only (1) pursuant to our notice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meeting, (2) by or at the direction of our Board of Directors or (3) provided that our Board of Directors has determined that directors will be elected at the meeting, by any stockholder who was a stockholder of record both at the time of giving of notice and at the time of the annual meeting, is entitled to vote at the meeting and who has complied with the advance notice provisions of the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certain provisions of our bylaws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Calling of Special Meetings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special meetings of stockholders may be called by or at the request of the Chairman of Board of Directors, the president or by a majority of the directors then in office.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Approval of Extraordinary Corporate Action; Amendment of Charter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Under our charter, provided that at least 75% of our directors then in office have approved and declared the action advisable and submitted such action to the stockholders, our dissolution, an amendment to our charter that requires stockholder approval, a merger, or a sale of all or substantially all of our assets or a similar transaction outside the ordinary course of business, must be approved by the affirmative vote of stockholders entitled to cast at least a majority of the votes entitled to be cast on the matter. If an extraordinary matter submitted to stockholders by our Board of Directors is approved and advised by less than 75% of our directors, such matter will require approval by the affirmative vote of stockholders entitled to cast at least two-thirds of the votes entitled to be cast on the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provide that our Board of Directors will have the exclusive power to make, alter, amend or repeal any provision of our bylaws.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Appraisal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with respect to appraisal rights arising in connection with the Control Share Act discussed below, as permitted by the Maryland General Corporation Law, our charter provides that stockholders will not be entitled to exercise appraisal rights unless a majority of our Board of Directors shall determine such rights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Control Share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Maryland General Corporation Law provides that control shares of a Maryland corporation acquired in a control share acquisition have no voting rights except to the extent approved by a vote of two-thirds of the votes entitled to be cast on the matter, or the “Control Share Act.” Shares owned by the acquirer, by officers or by directors who are employees of the corporation are excluded from shares entitled to vote on the matter. Control shares are voting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one-tenth or more but less than one-third;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one-third or more but less than a majority;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or more of all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the SEC staff does not object to our determination that our being subject to the Control Share Act does not conflict with the 1940 Act and such amendment otherwise complies with applicable law. The SEC had previously issued informal guidance setting forth its position that certain provisions of the Control Share Act would, if implemented, violate Section 18(i) of the 1940 Act. The SEC subsequently withdrew this guidance and indicated that it would not recommend enforcement action against a company that implements a Control Share Act, if the decision by the board of a company to implement the Control Share Act was taken with reasonable care on a basis consistent with other applicable duties and laws and the duty to the fund and its stockholders generally.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or the “Business Combination Act.” These business combinations include a merger, consolidation, share exchange or, in circumstances specified in the statute, an asset transfer or issuance or reclassification of equity securities. An interested stockholder is defined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beneficially owns 10% or more of the voting power of the corporation’s outstanding voting stock;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person is not an interested stockholder under this statute if our Board of Directors approved in advance the transaction by which the stockholder otherwise would have become an interested stockholder. However, in approving a transaction, our Board of Directors may provide that its approval is subject to compliance, at or after the time of approval, with any terms and conditions determined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five-year prohibition, any business combination between the Maryland corporation and an interested stockholder generally must be recommended by the board of directors of the corporation and approved by the affirmative vote of at least: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80% of the votes entitled to be cast by holders of outstanding shares of voting stock of the corporation;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statute permits various exemptions from its provisions, including business combinations that are exempted by our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our Board of Directors determines that it would be in our best interests and if the SEC staff does not object to our determination that our being subject to the Business Combination Act does not conflict with the 1940 Act. If this resolution is repealed, or our Board of Directors does not otherwise approve a business combination, the statute may discourage others from trying to acquire control of us and increase the difficulty of consummating any offer.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Conflict with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12"/>
      <w:bookmarkEnd w:id="23"/>
      <w:r>
        <w:rPr>
          <w:rFonts w:ascii="Times New Roman PS Std;serif" w:hAnsi="Times New Roman PS Std;serif"/>
          <w:b/>
          <w:i w:val="false"/>
          <w:caps w:val="false"/>
          <w:smallCaps w:val="false"/>
          <w:sz w:val="20"/>
        </w:rPr>
        <w:t xml:space="preserve">DESCRIPTION OF OUR PREFERRED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of Directors is required by Maryland law and by our charter to set the terms,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currently requires, among other things, that (a) immediately after issuance and before any distribution is made with respect to common stock, the liquidation preference of the preferred stock, together with all other senior securities, must not exceed an amount equal to 50% of our total assets (taking into account such distribution), (b) the holders of shares of preferred stock, if any are issued, must be entitled as a class to elect two directors at all times and to elect a majority of the directors if dividends on the preferred stock are in arrears by two years or more and (c) such class of stock have complete priority over any other class of stock as to distribution of assets and payment of dividends, which dividends shall be cumulative.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any series of preferred stock that we may issue, our board of directors will determine and the articles supplementary and the prospectus supplement relating to such series will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number of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and time at which, and the preferences and conditions under which, any dividends will be paid on shares of such series, as well as whether such dividends are participating or non-participating;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convertibility or exchangeability of the shares of such series, including adjustments to the conversion price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preferences, if any, of holders of shares of such series upon our liquidation, dissolution or winding up of our affairs;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voting powers, if any, of the holders of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relating to the redemption of the shares of such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limitations on our ability to pay dividends or make distributions on, or acquire or redeem, other securities while shares of such series are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conditions or restrictions on our ability to issue additional shares of such series or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relative powers, preferences and participating, optional or special rights of shares of such series, and the qualifications, limitations or restrictions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dividends, if any, thereon will be cumulative.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1"/>
      <w:bookmarkEnd w:id="24"/>
      <w:r>
        <w:rPr>
          <w:rFonts w:ascii="Times New Roman PS Std;serif" w:hAnsi="Times New Roman PS Std;serif"/>
          <w:b/>
          <w:i w:val="false"/>
          <w:caps w:val="false"/>
          <w:smallCaps w:val="false"/>
          <w:sz w:val="20"/>
        </w:rPr>
        <w:t xml:space="preserve">DESCRIPTION OF OUR SUBSCRIPTION RIGHTS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In accordance with the 1940 Act, any transferable subscription rights offering will entitle our record date stockholders at the time of such offering one right for each share of common stock held, entitling the rights holder to purchase one new share of common stock for a minimum of every three rights held.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would describe the following terms of subscription rights in respect of which this prospectus is being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 for such subscription rights (or method of calculation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such subscription rights issued to each stockholder;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are transferable and the market on which they may be traded if they are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applicable to the issuance or exercise of such subscription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subscription rights shall commence, and the date on which such right shall expire (subject to any extension);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such subscription rights include an over-subscription privilege with respect to unsubscribed securities and the terms of such over-subscription privilege;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termination right we may have in connection with such subscription rights offering;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subscription rights, including exercise, settlement and other procedures and limitations relating to the transfer and exercise of such subscription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Subscription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Dilutive Effects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10"/>
      <w:bookmarkEnd w:id="25"/>
      <w:r>
        <w:rPr>
          <w:rFonts w:ascii="Times New Roman PS Std;serif" w:hAnsi="Times New Roman PS Std;serif"/>
          <w:b/>
          <w:i w:val="false"/>
          <w:caps w:val="false"/>
          <w:smallCaps w:val="false"/>
          <w:sz w:val="20"/>
        </w:rPr>
        <w:t xml:space="preserve">DESCRIPTION OF OUR WARRANTS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description of the terms of the warrants we may issue from time to time. Particular terms of any warrants we offer will be described in the prospectus supplement relating to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warrants representing rights to purchase shares of our common stock, preferred stock or debt securities. Such warrants may be issued independently or together with shares of common stock and may be attached or separate from such shares of common stock.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will describe the particular terms of any series of warrants we may issue,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such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aggregate number of such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such warrants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currency or currencies, including composite currencies, in which the price of such warrants may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common stock issuable upon exercise of such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at which and the currency or currencies, including composite currencies, in which the shares of common stock purchasable upon exercise of such warrants may be purchased;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such warrants shall commence and the date on which such right will expire;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such warrants will be issued in registered form or bearer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minimum or maximum amount of such warrants which may be exercised at any one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number of such warrants issued with each share of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date on and after which such warrants and the related shares of common stock will be separately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with respect to book-entry procedures,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certain U.S. federal income tax considerations;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such warrants, including terms, procedures and limitations relating to the exchange and exercise of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9"/>
      <w:bookmarkEnd w:id="26"/>
      <w:r>
        <w:rPr>
          <w:rFonts w:ascii="Times New Roman PS Std;serif" w:hAnsi="Times New Roman PS Std;serif"/>
          <w:b/>
          <w:i w:val="false"/>
          <w:caps w:val="false"/>
          <w:smallCaps w:val="false"/>
          <w:sz w:val="20"/>
        </w:rPr>
        <w:t xml:space="preserve">DESCRIPTION OF OUR DEBT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In connection with any debt offering, all of the material terms of the indenture and the supplemental indenture, as well as an explanation of your rights as a holder of debt securities, will be described in the prospectus supplement relating to such debt offering, which will include this prospectus together with the prospectus supplement accompanying this prospectus. See “Available Information” for information on how to obtain a copy of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which will accompany this prospectus, will describe the particular series of debt securities being offered by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or title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principal amount of the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percentage of the principal amount at which the series of debt securities will be offered;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on which principal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or rates (which may be either fixed or variable) and/or the method of determining such rate or rates of interest,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or dates from which any interest will accrue, or the method of determining such date or dates, and the date or dates on which any interest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for redemption, extension or early repayment,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currencies in which the series of debt securities are issued and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place or places, if any, other than or in addition to the Borough of Manhattan in the City of New York, of payment, transfer, conversion and/or exchange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denominations in which the offered debt securities will be issued (if other than $1,000 and any integral multiple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 for any sinking fund;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restrictive covenants;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Events of Default (as defined in “Events of Default”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series of debt securities are issuable in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defeasance or covenant defeasance;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special U.S. federal income tax implications, including, if applicable, U.S. federal income tax considerations relating to original issue discount;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convertibility or exchangeability of the debt securities into or for any other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subject to subordination and the terms of such subordination;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debt securities are secured and the terms of any security interest;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listing, if any, on a securities exchange;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under specified conditions, to issue multiple classes of indebtedness if our asset coverage, as defined in the 1940 Act, is at least equal to 150% immediately after each such issuance after giving effect to any exemptive relief granted to us by the SEC. We may also borrow amounts up to 5% of the value of our total assets for temporary purposes without regard to asset coverage. For a discussion of the risks associated with leverage, See the section titled “Item 1A. Risk Factors — Risks Relating to Our Business and Structure — Regulations governing our operation as a BDC affect our ability to, and the way in which we raise additional capital, which may expose us to risks, including the typical risks associated with leverage” in our most recent Annual Report on Form 10-K, as well as in any of our subsequent SEC filings.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described under “— Events of Default” and “— Merger or Consolidation” below, the indenture does not contain any provisions that give you protection in the event we issue a large amount of debt or we are acquired by another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and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Issuance of Securities in Registered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Book-Entry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Street Name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Considerations for Indirect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handles securities payments and notices;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it imposes fees or charges;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handle a request for the holders’ consent, if ever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it would exercise rights under the debt securities if there were a default or other event triggering the need for holders to act to protect their interests;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debt securities are in book-entry form, how the depositary’s rules and procedures will affect these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 Termination of a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Special Considerations for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debt securities are issued only in the form of a global security, an investor should be aware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a Global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Payment and Paying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Payments on Global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Payments on Certificated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New York and/or at other offices that may be specified in the prospectus supplement.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Payment When Offices Are 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Book-entry and other indirect holders should consult their banks or brokers for information on how they will receive payments on their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“Event of Default” in respect of the debt securities of your series means any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pay the principal of, or any premium on, a debt security of the series on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pay interest on a debt security of the series within 30 days of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deposit any sinking fund payment in respect of debt securities of the series within 2 business days of its due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file for bankruptcy or certain other events of bankruptcy, insolvency or reorganization occur and remain undischarged or unstayed for a period of 60 days;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series of debt securities has an asset coverage, as such term is defined in the 1940 Act, of less than 100 per centum on the last business day of each of twenty-four consecutive calendar months, giving effect to any exemptive relief granted to the Company by the SEC;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Event of Default in respect of debt securities of the series described in the prospectus supplement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Remedies if an Event of Default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give the trustee written notice that an Event of Default with respect to the relevant series of debt securities has occurred and remains uncured;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reasonable indemnity, security or both to the trustee against the costs, expenses and other liabilities of taking that 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trustee must not have taken action for 60 days after receipt of the above notice and offer of indemnity and/or security;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holders of a majority in principal amount of the outstanding debt securities of that series must not have given the trustee a direction inconsistent with the above notice during that 60-day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you are entitled at any time to bring a lawsuit for the payment of money due on your debt securities on or after the due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Waiver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 majority in principal amount of the outstanding debt securities of the affected series may waive any past defaults other than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payment of principal, any premium or interest;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respect of a covenant that cannot be modified or amended without the consent of each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or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we merge out of existence or convey or transfer our assets substantially as an entirety, the resulting entity or transferee must agree to be legally responsible for our obligations under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certain certificates and documents to the trustee;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satisfy any other requirements specified in the prospectus supplement relating to a particular series of debt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Modification or Waiver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three types of changes we can make to the indenture and the debt securities issued thereunder.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Requiring Your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there are changes that we cannot make to your debt securities without your specific approval. The following is a list of those types of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stated maturity of the principal of or interest on a debt security or the terms of any sinking fund with respect to any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any amounts due on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amount of principal payable upon acceleration of the maturity of an original issue discount or indexed security following a default or upon the redemption thereof or the amount thereof provable in a bankruptcy proceeding;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of repayment at the holder’s option;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place or currency of payment on a debt security (except as otherwise described in the prospectus or prospectus supplement);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 your right to sue for payment;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adversely affect any right to convert or exchange a debt security in accordance with its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the subordination provisions in the indenture in a manner that is adverse to outstanding holders of the debt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modify or amend the indenture;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percentage of holders of debt securities whose consent is needed to waive compliance with certain provisions of the indenture or to waive certain defaults;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any other aspect of the provisions of the indenture dealing with supplemental indentures with the consent of holders, waiver of past defaults, changes to the quorum or voting requirements or the waiver of certain covenants;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any obligation we have to pay additional amounts.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Not Requiring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second type of change does not require any vote by the holders of the debt securities. This type is limited to clarifications, evidencing succession of another person to the Company and the assumption by any such successor of the covenants of the Company in the indenture and applicable to the debt securities,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Requiring Majority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other change to the indenture and the debt securities would require the following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only one series of debt securities, it must be approved by the holders of a majority in principal amount of that series;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each case, the required approval must be given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Further Details Concerning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taking a vote, we will use the following rules to decide how much principal to attribute to a debt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whose principal amount is not known (for example, because it is based on an index), we will use the principal face amount at original issuance or a special rule for that debt security described in the prospectus supplement;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debt securities denominated in one or more foreign currencies, we will use the U.S. dollar equivalent.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and other indirect holders should consult their banks or brokers for information on how approval may be granted or denied if we seek to change the indenture or the debt securities or request a waiver.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Covenant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result in a default under, of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covenant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Full Defeasance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then specified as payable at stated maturity) that will generate enough cash to make interest, principal and any other payments on the debt securities on their various due dates and any mandatory sinking fund payments or analogous payments;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defeasance must not result in a breach or violation of, or constitute a default under, of the indenture or any of our other material agreements or instruments;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satisfy the conditions for full defeasance contained in any supplemental indentures.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 of Certificated Registered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registered debt securities cease to be issued in book-entry form, they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only in fully registered certificated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without interest coupons;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unless we indicate otherwise in the prospectus supplement, in denominations of $1,000 and amounts that are multiples of $1,000.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Resignation of Trustee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Indenture Provisions — Subordination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notwithstanding the foregoing, any payment by us at any time is received by the holders of any subordinated debt securities or by the trustee in respect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Indebtedness is defined in the indenture as the principal of (and premium, if any) and unpaid interest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renewals, extensions, modifications and refinancings of any of this indebtedness.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Secured Indebtedness and Ranking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Trustee under the Indenture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Bank Trust Company, National Association will serve as the trustee under the indenture.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Considerations Relating to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Book-Entry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the debt securities will be issued in book-entry form, and the Depository Trust Company,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Standard &amp; Poor’s Ratings Services’ highest rating: AA+. The DTC Rules applicable to its participants are on file with the SEC. More information about DTC can be found at </w:t>
      </w:r>
      <w:r>
        <w:rPr>
          <w:rFonts w:ascii="Times New Roman PS Std;serif" w:hAnsi="Times New Roman PS Std;serif"/>
          <w:b w:val="false"/>
          <w:i/>
          <w:caps w:val="false"/>
          <w:smallCaps w:val="false"/>
          <w:sz w:val="20"/>
        </w:rPr>
        <w:t>www.dtcc.com</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www.dtc.org</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in this section concerning DTC and DTC’s book-entry system has been obtained from sources that we believe to be reliable, but we take no responsibility for the accuracy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8"/>
      <w:bookmarkEnd w:id="27"/>
      <w:r>
        <w:rPr>
          <w:rFonts w:ascii="Times New Roman PS Std;serif" w:hAnsi="Times New Roman PS Std;serif"/>
          <w:b/>
          <w:i w:val="false"/>
          <w:caps w:val="false"/>
          <w:smallCaps w:val="false"/>
          <w:sz w:val="20"/>
        </w:rPr>
        <w:t xml:space="preserve">REGULATION </w:t>
      </w:r>
    </w:p>
    <w:p>
      <w:pPr>
        <w:pStyle w:val="TextBody"/>
        <w:keepNext w:val="false"/>
        <w:pageBreakBefore w:val="false"/>
        <w:widowControl/>
        <w:pBdr/>
        <w:bidi w:val="0"/>
        <w:spacing w:before="160" w:after="283"/>
        <w:ind w:left="0" w:right="0" w:firstLine="480"/>
        <w:jc w:val="both"/>
        <w:rPr/>
      </w:pPr>
      <w:r>
        <w:rPr>
          <w:rFonts w:ascii="Times New Roman PS Std;serif" w:hAnsi="Times New Roman PS Std;serif"/>
          <w:b w:val="false"/>
          <w:i w:val="false"/>
          <w:caps w:val="false"/>
          <w:smallCaps w:val="false"/>
          <w:sz w:val="20"/>
        </w:rPr>
        <w:t xml:space="preserve">The information contained in “Part I, Item 1. Business — Regulation as a Business Development Company” of our most recent Annual Report on </w:t>
      </w:r>
      <w:hyperlink r:id="rId17">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 is incorporated herein by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7"/>
      <w:bookmarkEnd w:id="28"/>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from time to time, in more than one offering or series, up to $300,000,000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The holders of our common stock will indirectly bear any fees and expenses in connection with any such offerings. We may sell securities through underwriters or dealers, directly to one or more purchasers, including existing stockholders in a rights offering,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securities will be named in the applicable prospectus supplement. A prospectus supplement or supplements will also describe the terms of the offering of securities, including: the purchase price of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the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(a) in connection with a rights offering to our existing stockholders, (b) with the consent of the majority of our common stockholders or (c) under such other circumstances as the SEC may permit. Any offering of securities by us that requires the consent of the majority of our common stockholders, must occur, if at all, within one year after receiving such consent. The price at which the securities may be distributed may represent a discount from prevailing market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compensation to be received by any member of FINRA or independent broker-dealer, including any reimbursements to underwriters or agents for certain fees and legal expenses incurred by them, will not be greater than 8% of the gross proceeds of the sale of the securities offered pursuant to this prospectus and any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directly or through agents we designate from time to time. We will name any agent involved in the offering and sale of the securities and we will describe any commissions we will pay the agent in the prospectus supplement. Unless the prospectus supplement states otherwise, our agent will act on a best-efforts basis for the period of its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each class or series of securities will be a new issue with no trading market, other than our common stock, the 5.50% Unsecured Notes and the 7.75% Unsecured Notes, all of which are traded on The NASDAQ Global Select Market. We may elect to list any other class or series of securities on any exchanges, but we are not obligated to do so. We cannot guarantee the liquidity of the trading markets for any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our securities offered hereby will be sold in such jurisdictions only through registered or licensed brokers or dealers.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6"/>
      <w:bookmarkEnd w:id="29"/>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in connection with the securities offered hereby will be passed upon for us by Dechert LLP, Washington, DC. Certain legal matters in connection with the offering will be passed upon for the underwriters, if any, by the counsel named in the prospectus supplement.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
      <w:bookmarkEnd w:id="30"/>
      <w:r>
        <w:rPr>
          <w:rFonts w:ascii="Times New Roman PS Std;serif" w:hAnsi="Times New Roman PS Std;serif"/>
          <w:b/>
          <w:i w:val="false"/>
          <w:caps w:val="false"/>
          <w:smallCaps w:val="false"/>
          <w:sz w:val="20"/>
        </w:rPr>
        <w:t xml:space="preserve">CUSTODIAN, TRANSFER AND DISTRIBUTION PAYING AGENT AND REGISTRAR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are held under a custody agreement by U.S. Bank National Association. The address of the custodian is 8 Greenway Plaza, Suite 1100, Houston, Texas 77046. Computershare Trust Company, N.A. acts as our transfer, distribution paying and reinvestment plan agent and registrar. The principal business address of our transfer agent, dividend paying and reinvestment plan agent and registrar is 250 Royall Street, Canton, MA 02021.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4"/>
      <w:bookmarkEnd w:id="31"/>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3"/>
      <w:bookmarkEnd w:id="32"/>
      <w:r>
        <w:rPr>
          <w:rFonts w:ascii="Times New Roman PS Std;serif" w:hAnsi="Times New Roman PS Std;serif"/>
          <w:b/>
          <w:i w:val="false"/>
          <w:caps w:val="false"/>
          <w:smallCaps w:val="false"/>
          <w:sz w:val="20"/>
        </w:rPr>
        <w:t xml:space="preserve">BROKERAGE ALLOCATION AND OTHER PRACTICES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policies established by our Board of Directors, our investment adviser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to the Company; and (vii) any other factors the investment adviser considers to be in the best interest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2"/>
      <w:bookmarkEnd w:id="33"/>
      <w:r>
        <w:rPr>
          <w:rFonts w:ascii="Times New Roman PS Std;serif" w:hAnsi="Times New Roman PS Std;serif"/>
          <w:b/>
          <w:i w:val="false"/>
          <w:caps w:val="false"/>
          <w:smallCaps w:val="false"/>
          <w:sz w:val="20"/>
        </w:rPr>
        <w:t xml:space="preserve">AVAILABLE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N-2 together with all amendments and related exhibits under the Securities Act. The registration statement contains additional information about us and the securities being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annual, quarterly and current reports, proxy statements and other information with the SEC under the Exchange Act. The information we file with the SEC is available free of charge by contacting us at 8 Sound Shore Drive, Suite 255, Greenwich, CT 06830 or by telephone at (203) 983-5275 or on our website at </w:t>
      </w:r>
      <w:r>
        <w:rPr>
          <w:rFonts w:ascii="Times New Roman PS Std;serif" w:hAnsi="Times New Roman PS Std;serif"/>
          <w:b w:val="false"/>
          <w:i/>
          <w:caps w:val="false"/>
          <w:smallCaps w:val="false"/>
          <w:sz w:val="20"/>
        </w:rPr>
        <w:t>www.oxfordsquarecapital.com</w:t>
      </w:r>
      <w:r>
        <w:rPr>
          <w:rFonts w:ascii="Times New Roman PS Std;serif" w:hAnsi="Times New Roman PS Std;serif"/>
          <w:b w:val="false"/>
          <w:i w:val="false"/>
          <w:caps w:val="false"/>
          <w:smallCaps w:val="false"/>
          <w:sz w:val="20"/>
        </w:rPr>
        <w:t xml:space="preserve">. The SEC also maintains a website that contains reports, proxy statements and other information regarding registrants, including us, that file such information electronically with the SEC. The address of the SEC’s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Information contained on our website or on the SEC’s website about us is not incorporated into this prospectus and you should not consider information contained on our website or on the SEC’s website to be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
      <w:bookmarkEnd w:id="34"/>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18">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fiscal year ended December 31, 2025, filed with the SEC on March 6,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Definitive Proxy Statement on </w:t>
      </w:r>
      <w:hyperlink r:id="rId19">
        <w:r>
          <w:rPr>
            <w:rStyle w:val="InternetLink"/>
            <w:rFonts w:ascii="Times New Roman PS Std;serif" w:hAnsi="Times New Roman PS Std;serif"/>
            <w:b w:val="false"/>
            <w:i w:val="false"/>
            <w:caps w:val="false"/>
            <w:smallCaps w:val="false"/>
            <w:sz w:val="20"/>
          </w:rPr>
          <w:t>Schedule 14A</w:t>
        </w:r>
      </w:hyperlink>
      <w:r>
        <w:rPr>
          <w:rFonts w:ascii="Times New Roman PS Std;serif" w:hAnsi="Times New Roman PS Std;serif"/>
          <w:b w:val="false"/>
          <w:i w:val="false"/>
          <w:caps w:val="false"/>
          <w:smallCaps w:val="false"/>
          <w:sz w:val="20"/>
        </w:rPr>
        <w:t>, filed with the SEC on July 8, 2025;</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common stock contained in </w:t>
      </w:r>
      <w:hyperlink r:id="rId20">
        <w:r>
          <w:rPr>
            <w:rStyle w:val="InternetLink"/>
            <w:rFonts w:ascii="Times New Roman PS Std;serif" w:hAnsi="Times New Roman PS Std;serif"/>
            <w:b w:val="false"/>
            <w:i w:val="false"/>
            <w:caps w:val="false"/>
            <w:smallCaps w:val="false"/>
            <w:sz w:val="20"/>
          </w:rPr>
          <w:t>Exhibit 4.3</w:t>
        </w:r>
      </w:hyperlink>
      <w:r>
        <w:rPr>
          <w:rFonts w:ascii="Times New Roman PS Std;serif" w:hAnsi="Times New Roman PS Std;serif"/>
          <w:b w:val="false"/>
          <w:i w:val="false"/>
          <w:caps w:val="false"/>
          <w:smallCaps w:val="false"/>
          <w:sz w:val="20"/>
        </w:rPr>
        <w:t xml:space="preserve"> of our Annual Report on </w:t>
      </w:r>
      <w:hyperlink r:id="rId21">
        <w:r>
          <w:rPr>
            <w:rStyle w:val="InternetLink"/>
            <w:rFonts w:ascii="Times New Roman PS Std;serif" w:hAnsi="Times New Roman PS Std;serif"/>
            <w:b w:val="false"/>
            <w:i w:val="false"/>
            <w:caps w:val="false"/>
            <w:smallCaps w:val="false"/>
            <w:sz w:val="20"/>
          </w:rPr>
          <w:t>Form 10-K</w:t>
        </w:r>
      </w:hyperlink>
      <w:r>
        <w:rPr>
          <w:rFonts w:ascii="Times New Roman PS Std;serif" w:hAnsi="Times New Roman PS Std;serif"/>
          <w:b w:val="false"/>
          <w:i w:val="false"/>
          <w:caps w:val="false"/>
          <w:smallCaps w:val="false"/>
          <w:sz w:val="20"/>
        </w:rPr>
        <w:t xml:space="preserve"> for the year ended December 31, 2025 (filed with the SEC on March 6, 2026), which updated the description thereof in our Registration Statement on </w:t>
      </w:r>
      <w:hyperlink r:id="rId22">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xml:space="preserve"> (File No. 000-50398), filed with the SEC on September 23, 2003, including any amendment or report filed for the purpose of updating such description prior to the termination of the offering registered hereby.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periodic and current reports filed pursuant to Section 13 or 15(d) of the Exchange Act, as well as this prospectus are available on our website at </w:t>
      </w:r>
      <w:r>
        <w:rPr>
          <w:rFonts w:ascii="Times New Roman PS Std;serif" w:hAnsi="Times New Roman PS Std;serif"/>
          <w:b w:val="false"/>
          <w:i/>
          <w:caps w:val="false"/>
          <w:smallCaps w:val="false"/>
          <w:sz w:val="20"/>
        </w:rPr>
        <w:t>www.oxfordsquarecapital.com</w:t>
      </w:r>
      <w:r>
        <w:rPr>
          <w:rFonts w:ascii="Times New Roman PS Std;serif" w:hAnsi="Times New Roman PS Std;serif"/>
          <w:b w:val="false"/>
          <w:i w:val="false"/>
          <w:caps w:val="false"/>
          <w:smallCaps w:val="false"/>
          <w:sz w:val="20"/>
        </w:rPr>
        <w:t>. You may also request a copy of these filings (other than exhibits, unless the exhibits are specifically incorporated by reference into these documents) at no cost by writing or calling Investor Relations at the following address and telephone number: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Capital Corp.</w:t>
        <w:br/>
        <w:t>8 Sound Shore Drive</w:t>
        <w:br/>
        <w:t>Suite 255</w:t>
        <w:br/>
        <w:t>Greenwich, Connecticut</w:t>
        <w:br/>
        <w:t>(203) 983-5275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000" w:after="283"/>
        <w:ind w:left="0" w:right="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$300,000,000</w:t>
      </w:r>
    </w:p>
    <w:p>
      <w:pPr>
        <w:pStyle w:val="TextBody"/>
        <w:keepNext w:val="true"/>
        <w:pageBreakBefore w:val="false"/>
        <w:widowControl/>
        <w:pBdr/>
        <w:bidi w:val="0"/>
        <w:spacing w:before="500" w:after="283"/>
        <w:jc w:val="center"/>
        <w:rPr>
          <w:caps w:val="false"/>
          <w:smallCaps w:val="false"/>
        </w:rPr>
      </w:pPr>
      <w:r>
        <w:rPr>
          <w:caps w:val="false"/>
          <w:smallCaps w:val="false"/>
        </w:rPr>
        <w:drawing>
          <wp:inline distT="0" distB="0" distL="0" distR="0">
            <wp:extent cx="714375" cy="9296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714375" cy="929640"/>
                    </a:xfrm>
                    <a:prstGeom prst="rect">
                      <a:avLst/>
                    </a:prstGeom>
                  </pic:spPr>
                </pic:pic>
              </a:graphicData>
            </a:graphic>
          </wp:inline>
        </w:drawing>
      </w:r>
    </w:p>
    <w:p>
      <w:pPr>
        <w:pStyle w:val="TextBody"/>
        <w:keepNext w:val="true"/>
        <w:pageBreakBefore w:val="false"/>
        <w:widowControl/>
        <w:pBdr/>
        <w:bidi w:val="0"/>
        <w:spacing w:before="3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Oxford Square Capital Corp.</w:t>
      </w:r>
    </w:p>
    <w:p>
      <w:pPr>
        <w:pStyle w:val="TextBody"/>
        <w:keepNext w:val="true"/>
        <w:pageBreakBefore w:val="false"/>
        <w:widowControl/>
        <w:pBdr/>
        <w:bidi w:val="0"/>
        <w:spacing w:before="4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br/>
        <w:t>Preferred Stock</w:t>
        <w:br/>
        <w:t>Debt Securities</w:t>
        <w:br/>
        <w:t>Subscription Rights</w:t>
        <w:br/>
        <w:t>Warrants</w:t>
      </w:r>
    </w:p>
    <w:p>
      <w:pPr>
        <w:pStyle w:val="TextBody"/>
        <w:keepNext w:val="false"/>
        <w:pageBreakBefore w:val="false"/>
        <w:widowControl/>
        <w:pBdr/>
        <w:bidi w:val="0"/>
        <w:spacing w:before="28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w:t>
      </w:r>
    </w:p>
    <w:p>
      <w:pPr>
        <w:pStyle w:val="TextBody"/>
        <w:keepNext w:val="false"/>
        <w:pageBreakBefore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p>
      <w:pPr>
        <w:pStyle w:val="TextBody"/>
        <w:keepNext w:val="false"/>
        <w:pageBreakBefore w:val="false"/>
        <w:widowControl/>
        <w:pBdr/>
        <w:bidi w:val="0"/>
        <w:spacing w:before="40" w:after="9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C — OTHER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25. FINANCIAL STATEMENTS AND EXHIBITS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1.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financial statements of Oxford Square Capital Corp. have been incorporated by reference in this registration statement in “Part A — Incorporation of Certain Information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 for the Year Ended December 31, 2025 (Audited)</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Report of Independent Registered Public Accounting Firm</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of Assets and Liabilities as of December 31, 2025 and December 31, 2024</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 of Investments as of December 31, 2025</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 of Investments as of December 31, 2024</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of Operations for the years ended December 31, 2025, December 31, 2024 and December 31, 2023</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of Changes in Net Assets for the years ended December 31, 2025, December 31, 2024 and December 31, 2023</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Statements of Cash Flows for the years ended December 31, 2025, December 31, 2024 and December 31, 2023</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to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 Exhibits</w:t>
      </w:r>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Articles of Incorporation (Incorporated by reference to the Registrant’s Registration Statement on Form N-2 (File No. 333-109055), filed on September 23, 2003).</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Articles of Amendment (Incorporated by reference to Current Report on Form 8-K filed December 3, 2007).</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Articles of Amendment (Incorporated by reference to the Registrant’s current report on Form 8-K, filed on March 20, 2018).</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Articles of Amendment (Incorporated by reference to the Registrant’s current report on Form 8-K, filed on March 20, 2018).</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a.5</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Form of Articles Supplementary Establishing and Fixing the Rights and Preferences of the Term Preferred Shares (Incorporated by reference to Pre-Effective Amendment No. 2 to the Registrant’s Registration Statement on Form N-2 (File No. 333-183605), filed on January 11, 2013).</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Fourth Amended and Restated Bylaws (Incorporated by reference to Registrant’s Annual Report on Form 10-K, filed on March 7, 2022).</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0">
              <w:r>
                <w:rPr>
                  <w:rStyle w:val="InternetLink"/>
                  <w:rFonts w:ascii="Times New Roman PS Std;serif" w:hAnsi="Times New Roman PS Std;serif"/>
                  <w:b w:val="false"/>
                  <w:i w:val="false"/>
                  <w:caps w:val="false"/>
                  <w:smallCaps w:val="false"/>
                  <w:sz w:val="20"/>
                </w:rPr>
                <w:t>Form of Common Stock Certificate (Incorporated by reference to the Registrant’s Registration Statement on Form N-2 (File No. 333-109055), filed on September 23, 2003).</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1">
              <w:r>
                <w:rPr>
                  <w:rStyle w:val="InternetLink"/>
                  <w:rFonts w:ascii="Times New Roman PS Std;serif" w:hAnsi="Times New Roman PS Std;serif"/>
                  <w:b w:val="false"/>
                  <w:i w:val="false"/>
                  <w:caps w:val="false"/>
                  <w:smallCaps w:val="false"/>
                  <w:sz w:val="20"/>
                </w:rPr>
                <w:t>Form of Base Indenture (Incorporated by reference to Exhibit d.4 to the Registrant’s Pre-Effective Amendment No. 2 to its Registration Statement on Form N-2 (File No. 333-183605), filed on January 11, 2013).</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d.3</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Statement of Eligibility of Trustee on Form T-1 (Incorporated by reference to the Registrant’s Registration Statement on Form N-2 (File No. 333-290511), filed on September 25,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d.4</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Form of Third Supplemental Indenture relating to the 5.50% Notes due 2028, by and between the Registrant and U.S. Bank National Association, as trustee (Incorporated by reference to Exhibit 4.1 to the Registrant’s current report on Form 8-K filed May 20, 2021).</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d.5</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rPr>
                <w:t>Form of Global Note with respect to the 5.50% Notes due 2028 (Incorporated by reference to Exhibit d.4 to the Registrant’s current report on Form 8-K filed May 20, 2021).</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6"/>
        <w:gridCol w:w="146"/>
        <w:gridCol w:w="9053"/>
      </w:tblGrid>
      <w:tr>
        <w:trPr/>
        <w:tc>
          <w:tcPr>
            <w:tcW w:w="10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tcBorders/>
            <w:vAlign w:val="bottom"/>
          </w:tcPr>
          <w:p>
            <w:pPr>
              <w:pStyle w:val="TableContents"/>
              <w:bidi w:val="0"/>
              <w:spacing w:before="0" w:after="283"/>
              <w:jc w:val="left"/>
              <w:rPr/>
            </w:pPr>
            <w:r>
              <w:rPr/>
              <w:t> </w:t>
            </w:r>
          </w:p>
        </w:tc>
        <w:tc>
          <w:tcPr>
            <w:tcW w:w="90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d.6</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Form of Fourth Supplemental Indenture relating to the 7.75% Notes due 2030, by and between the Registrant and U.S. Bank National Association, as trustee (Incorporated by reference to Exhibit 4.1 to the Registrant’s current report on Form 8-K filed August 7,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d.7</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Form of Global Note with respect to the 7.75% Notes due 2030 (Incorporated by reference to Exhibit d.6 to the Registrant’s current report on Form 8-K filed August 7, 2025).</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Second Amended and Restated Distribution Reinvestment Plan (Incorporated by reference to Exhibit 10.4 to the Registrant’s report on Form 10-K filed on March 4, 2015).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Investment Advisory Agreement by and between Registrant and TICC Management, LLC (Incorporated by reference to Exhibit 10.1 to the Registrant’s report on Form 8-K filed on July 1, 2011).</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Oxford Square Management, LLC’s Fee Waiver Letter, dated March 9, 2016 (Incorporated by reference to Exhibit 10.1 to the Registrant’s report on Form 8-K, filed on March 10, 2016).</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0">
              <w:r>
                <w:rPr>
                  <w:rStyle w:val="InternetLink"/>
                  <w:rFonts w:ascii="Times New Roman PS Std;serif" w:hAnsi="Times New Roman PS Std;serif"/>
                  <w:b w:val="false"/>
                  <w:i w:val="false"/>
                  <w:caps w:val="false"/>
                  <w:smallCaps w:val="false"/>
                  <w:sz w:val="20"/>
                </w:rPr>
                <w:t>Form of Underwriting Agreement (Incorporated by reference to Pre-Effective Amendment No. 1 to the Registrant’s Registration Statement on Form N-2 (File No. 333-169061), filed on October 15, 2010).</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h.2</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1">
              <w:r>
                <w:rPr>
                  <w:rStyle w:val="InternetLink"/>
                  <w:rFonts w:ascii="Times New Roman PS Std;serif" w:hAnsi="Times New Roman PS Std;serif"/>
                  <w:b w:val="false"/>
                  <w:i w:val="false"/>
                  <w:caps w:val="false"/>
                  <w:smallCaps w:val="false"/>
                  <w:sz w:val="20"/>
                </w:rPr>
                <w:t>Amended and Restated Equity Distribution Agreement, dated as of August 16, 2024, by and among Oxford Square Capital Corp., Oxford Square Management, LLC, Oxford Funds, LLC, Lucid Capital Markets, LLC and Ladenburg Thalmann &amp; Co. Inc., as sales agents (Incorporated by reference to Registrant’s report on Form 8-K filed on August 16, 2024).</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2">
              <w:r>
                <w:rPr>
                  <w:rStyle w:val="InternetLink"/>
                  <w:rFonts w:ascii="Times New Roman PS Std;serif" w:hAnsi="Times New Roman PS Std;serif"/>
                  <w:b w:val="false"/>
                  <w:i w:val="false"/>
                  <w:caps w:val="false"/>
                  <w:smallCaps w:val="false"/>
                  <w:sz w:val="20"/>
                </w:rPr>
                <w:t>Custodian Agreement between Registrant and U.S. Bank National Association (Incorporated by reference to Exhibit 10.2 to the Registrant’s report on Form 10-Q, filed on November 6, 2014).</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3">
              <w:r>
                <w:rPr>
                  <w:rStyle w:val="InternetLink"/>
                  <w:rFonts w:ascii="Times New Roman PS Std;serif" w:hAnsi="Times New Roman PS Std;serif"/>
                  <w:b w:val="false"/>
                  <w:i w:val="false"/>
                  <w:caps w:val="false"/>
                  <w:smallCaps w:val="false"/>
                  <w:sz w:val="20"/>
                </w:rPr>
                <w:t>Amended and Restated Administration Agreement between Registrant and BDC Partners, LLC (Incorporated by reference to Exhibit 10.3 to the Registrant’s quarterly report on Form 10-Q filed on May 10, 2012).</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l.1</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r:id="rId44">
              <w:r>
                <w:rPr>
                  <w:rStyle w:val="InternetLink"/>
                  <w:rFonts w:ascii="Times New Roman PS Std;serif" w:hAnsi="Times New Roman PS Std;serif"/>
                  <w:b w:val="false"/>
                  <w:i w:val="false"/>
                  <w:caps w:val="false"/>
                  <w:smallCaps w:val="false"/>
                  <w:sz w:val="20"/>
                </w:rPr>
                <w:t xml:space="preserve">Opinion and Consent of Dechert LLP (Incorporated by reference to the Registrant’s Registration Statement on Form N-2 (File No. 333-290511), filed on January 14, 2026). </w:t>
              </w:r>
            </w:hyperlink>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n.1</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w:anchor="ea0286432-01_ex99n1.htm">
              <w:r>
                <w:rPr>
                  <w:rStyle w:val="InternetLink"/>
                  <w:rFonts w:ascii="Times New Roman PS Std;serif" w:hAnsi="Times New Roman PS Std;serif"/>
                  <w:b w:val="false"/>
                  <w:i w:val="false"/>
                  <w:caps w:val="false"/>
                  <w:smallCaps w:val="false"/>
                  <w:sz w:val="20"/>
                </w:rPr>
                <w:t>Consent of Independent Registered Public Accounting Firm*</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n.2</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"http://www.sec.gov/Archives/edgar/data/1259429/000121390025091644/ea0257892-01_n2.htm" \l "T881"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Powers of Attorney (Incorporated by reference to the Registrant’s Registration Statement on Form N-2 (File No. 333-290511), filed on September 25, 2025).</w:t>
            </w:r>
            <w:r>
              <w:rPr>
                <w:rStyle w:val="InternetLink"/>
                <w:smallCaps w:val="false"/>
                <w:caps w:val="false"/>
                <w:sz w:val="20"/>
                <w:i w:val="false"/>
                <w:b w:val="false"/>
                <w:rFonts w:ascii="Times New Roman PS Std;serif" w:hAnsi="Times New Roman PS Std;serif"/>
              </w:rPr>
              <w:fldChar w:fldCharType="end"/>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w:t>
            </w:r>
          </w:p>
        </w:tc>
        <w:tc>
          <w:tcPr>
            <w:tcW w:w="146" w:type="dxa"/>
            <w:tcBorders/>
            <w:shd w:fill="CCEEFF" w:val="clear"/>
          </w:tcPr>
          <w:p>
            <w:pPr>
              <w:pStyle w:val="TableContents"/>
              <w:bidi w:val="0"/>
              <w:spacing w:before="0" w:after="283"/>
              <w:jc w:val="left"/>
              <w:rPr/>
            </w:pPr>
            <w:r>
              <w:rPr/>
              <w:t> </w:t>
            </w:r>
          </w:p>
        </w:tc>
        <w:tc>
          <w:tcPr>
            <w:tcW w:w="9053" w:type="dxa"/>
            <w:tcBorders/>
            <w:shd w:fill="CCEEFF" w:val="clear"/>
          </w:tcPr>
          <w:p>
            <w:pPr>
              <w:pStyle w:val="TableContents"/>
              <w:keepNext w:val="false"/>
              <w:widowControl/>
              <w:pBdr/>
              <w:bidi w:val="0"/>
              <w:spacing w:before="0" w:after="283"/>
              <w:jc w:val="both"/>
              <w:rPr/>
            </w:pPr>
            <w:hyperlink r:id="rId45">
              <w:r>
                <w:rPr>
                  <w:rStyle w:val="InternetLink"/>
                  <w:rFonts w:ascii="Times New Roman PS Std;serif" w:hAnsi="Times New Roman PS Std;serif"/>
                  <w:b w:val="false"/>
                  <w:i w:val="false"/>
                  <w:caps w:val="false"/>
                  <w:smallCaps w:val="false"/>
                  <w:sz w:val="20"/>
                </w:rPr>
                <w:t>Code of Ethics and Insider Trading Policy (Incorporated by reference to Exhibit 19.1 to the Registrant’s report on Form 10-K filed on March 5, 2025).</w:t>
              </w:r>
            </w:hyperlink>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w:t>
            </w:r>
          </w:p>
        </w:tc>
        <w:tc>
          <w:tcPr>
            <w:tcW w:w="146" w:type="dxa"/>
            <w:tcBorders/>
          </w:tcPr>
          <w:p>
            <w:pPr>
              <w:pStyle w:val="TableContents"/>
              <w:bidi w:val="0"/>
              <w:spacing w:before="0" w:after="283"/>
              <w:jc w:val="left"/>
              <w:rPr/>
            </w:pPr>
            <w:r>
              <w:rPr/>
              <w:t> </w:t>
            </w:r>
          </w:p>
        </w:tc>
        <w:tc>
          <w:tcPr>
            <w:tcW w:w="9053" w:type="dxa"/>
            <w:tcBorders/>
          </w:tcPr>
          <w:p>
            <w:pPr>
              <w:pStyle w:val="TableContents"/>
              <w:keepNext w:val="false"/>
              <w:widowControl/>
              <w:pBdr/>
              <w:bidi w:val="0"/>
              <w:spacing w:before="0" w:after="283"/>
              <w:jc w:val="both"/>
              <w:rPr/>
            </w:pPr>
            <w:hyperlink w:anchor="ea0286432-01_ex99s.htm">
              <w:r>
                <w:rPr>
                  <w:rStyle w:val="InternetLink"/>
                  <w:rFonts w:ascii="Times New Roman PS Std;serif" w:hAnsi="Times New Roman PS Std;serif"/>
                  <w:b w:val="false"/>
                  <w:i w:val="false"/>
                  <w:caps w:val="false"/>
                  <w:smallCaps w:val="false"/>
                  <w:sz w:val="20"/>
                </w:rPr>
                <w:t>Calculation of 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26. MARKETING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27. OTHER EXPENSES OF ISSUANCE AND DISTRIBUTION</w:t>
      </w:r>
    </w:p>
    <w:tbl>
      <w:tblPr>
        <w:tblW w:w="6075" w:type="dxa"/>
        <w:jc w:val="left"/>
        <w:tblInd w:w="0" w:type="dxa"/>
        <w:tblLayout w:type="fixed"/>
        <w:tblCellMar>
          <w:top w:w="0" w:type="dxa"/>
          <w:left w:w="0" w:type="dxa"/>
          <w:bottom w:w="0" w:type="dxa"/>
          <w:right w:w="0" w:type="dxa"/>
        </w:tblCellMar>
      </w:tblPr>
      <w:tblGrid>
        <w:gridCol w:w="4081"/>
        <w:gridCol w:w="146"/>
        <w:gridCol w:w="286"/>
        <w:gridCol w:w="1246"/>
        <w:gridCol w:w="316"/>
      </w:tblGrid>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35,149.04</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listing fee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postage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 and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180,149.04</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 Except the SEC registration fee, all listed amounts are estimates.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$33,326.34 of this amount has been offset against filing fees associated with unsold securities registered under a previous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28. PERSONS CONTROLLED BY OR UNDER COMMON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contained under the headings “The Company,” “Management,” “Related-Party Transactions and Certain Relationships” and “Control Persons and Principal Shareholders” in this Registration Statement is incorporated herein by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29. NUMBER OF HOLDERS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number of record holders of the Registrant’s common stock at April 8, 2026:</w:t>
      </w:r>
    </w:p>
    <w:tbl>
      <w:tblPr>
        <w:tblW w:w="6118" w:type="dxa"/>
        <w:jc w:val="left"/>
        <w:tblInd w:w="0" w:type="dxa"/>
        <w:tblLayout w:type="fixed"/>
        <w:tblCellMar>
          <w:top w:w="0" w:type="dxa"/>
          <w:left w:w="0" w:type="dxa"/>
          <w:bottom w:w="0" w:type="dxa"/>
          <w:right w:w="0" w:type="dxa"/>
        </w:tblCellMar>
      </w:tblPr>
      <w:tblGrid>
        <w:gridCol w:w="4216"/>
        <w:gridCol w:w="146"/>
        <w:gridCol w:w="1756"/>
      </w:tblGrid>
      <w:tr>
        <w:trPr/>
        <w:tc>
          <w:tcPr>
            <w:tcW w:w="42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Class</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Record Holders</w:t>
            </w:r>
          </w:p>
        </w:tc>
      </w:tr>
      <w:tr>
        <w:trPr/>
        <w:tc>
          <w:tcPr>
            <w:tcW w:w="42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$0.01 per share</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30.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 is made to Section 2-418 of the Maryland General Corporation Law, Article VIII of the Registrant’s Articles of Incorporation, Article XI of the Registrant’s Bylaws, the Investment Advisory Agreement and Administration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and which is material to the cause of action. Our charter contains such a provision which eliminates directors’ and officers’ liability to the maximum extent permitted by Maryland law, subject to the requirements of the 1940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authorizes us, to the maximum extent permitted by Maryland law and subject to the requirements of the 1940 Act, to indemnify any present or former director or officer or any individual who, while a director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a director and at our request, serves or has served another corporation, real estate investment trust, partnership, joint venture, trust, employee benefit plan or other enterprise as a director, officer, partner or trustee and who is made a party to the proceeding by reason of his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Maryland law requires a corporation (unless its charter provides otherwise, which our charter does not) to indemnify a director or officer who has been successful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The Investment Advisory Agreement provides that, absent willful misfeasance, bad faith or gross negligence in the performance of its duties or by reason of the reckless disregard of its duties and obligations, Oxford Square Management, LLC (the “Adviser”)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the Adviser’s services under the Investment Advisory Agreement or otherwise as an investment adviser of the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Administration Agreement provides that, absent willful misfeasance, bad faith or gross negligence in the performance of its duties or by reason of the reckless disregard of its duties and obligations, Oxford Funds, LLC and its officers, manager,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Oxford Funds, LLC’s services under the Administration Agreement or otherwise as administrator for the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 also provides for comparable indemnification for corporate officers and agents. Insofar as indemnification for liability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Company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31. BUSINESS AND OTHER CONNECTIONS OF INVESTMENT ADVISER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Part A of this Registration Statement in the sections entitled “Business,” “Management” and “Management and Other Agreements.” Additional information regarding the Adviser and its officers and directors is set forth in its Form ADV, as filed with the Securities and Exchange Commission (SEC File No. 801-62278), and is incorporated herein by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32. LOCATION OF ACCOUNTS AND RECORDS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accounts, books, and other documents required to be maintained by Section 31(a) of the 1940 Act, and the rules thereunder are maintained at the offices 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Registrant, Oxford Square Capital Corp., 8 Sound Shore Drive, Suite 255, Greenwich, CT 06830;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Transfer Agent, Computershare Trust Company, N.A., 250 Royall Street, Canton, MA 02021;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Custodian, U.S. Bank National Association, 8 Greenway Plaza, Suite 1100, Houston, Texas 77046;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Adviser, Oxford Square Management, LLC, 8 Sound Shore Drive, Suite 255, Greenwich, CT 06830.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33. MANAGEMENT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34. UNDERTAKINGS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Not applicable.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Not applicable.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Registrant hereby undertakes:</w:t>
      </w:r>
    </w:p>
    <w:p>
      <w:pPr>
        <w:pStyle w:val="TextBody"/>
        <w:keepNext w:val="false"/>
        <w:pageBreakBefore w:val="false"/>
        <w:widowControl/>
        <w:pBdr/>
        <w:bidi w:val="0"/>
        <w:spacing w:before="15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file, during any period in which offers or sales are being made, a post-effective amendment to the registration statement:</w:t>
      </w:r>
    </w:p>
    <w:p>
      <w:pPr>
        <w:pStyle w:val="TextBody"/>
        <w:keepNext w:val="false"/>
        <w:pageBreakBefore w:val="false"/>
        <w:widowControl/>
        <w:pBdr/>
        <w:bidi w:val="0"/>
        <w:spacing w:before="15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keepNext w:val="false"/>
        <w:pageBreakBefore w:val="false"/>
        <w:widowControl/>
        <w:pBdr/>
        <w:bidi w:val="0"/>
        <w:spacing w:before="15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in the effective registration statement.</w:t>
      </w:r>
    </w:p>
    <w:p>
      <w:pPr>
        <w:pStyle w:val="TextBody"/>
        <w:keepNext w:val="false"/>
        <w:pageBreakBefore w:val="false"/>
        <w:widowControl/>
        <w:pBdr/>
        <w:bidi w:val="0"/>
        <w:spacing w:before="15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paragraphs a(1), a(2), and a(3) of this section do not apply if the registration statement is filed pursuant to General Instruction A.2 of this Form and the information required to be included in a post-effective amendment by those paragraphs is contained in reports filed with or furnished to the Commission by the Registrant pursuant to Section 13 or Section 15(d) of the Exchange Act that are incorporated by reference into the registration statement, or is contained in a form of prospectus filed pursuant to Rule 424(b) that is part of the registration statement.</w:t>
      </w:r>
    </w:p>
    <w:p>
      <w:pPr>
        <w:pStyle w:val="TextBody"/>
        <w:keepNext w:val="false"/>
        <w:pageBreakBefore w:val="false"/>
        <w:widowControl/>
        <w:pBdr/>
        <w:bidi w:val="0"/>
        <w:spacing w:before="15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w:t>
      </w:r>
    </w:p>
    <w:p>
      <w:pPr>
        <w:pStyle w:val="TextBody"/>
        <w:keepNext w:val="false"/>
        <w:pageBreakBefore w:val="false"/>
        <w:widowControl/>
        <w:pBdr/>
        <w:bidi w:val="0"/>
        <w:spacing w:before="15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5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that, for the purpose of determining liability under the Securities Act to any purchaser:</w:t>
      </w:r>
    </w:p>
    <w:p>
      <w:pPr>
        <w:pStyle w:val="TextBody"/>
        <w:keepNext w:val="false"/>
        <w:pageBreakBefore w:val="false"/>
        <w:widowControl/>
        <w:pBdr/>
        <w:bidi w:val="0"/>
        <w:spacing w:before="15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the Registrant is relying on Rule 430B:</w:t>
      </w:r>
    </w:p>
    <w:p>
      <w:pPr>
        <w:pStyle w:val="TextBody"/>
        <w:keepNext w:val="false"/>
        <w:pageBreakBefore w:val="false"/>
        <w:widowControl/>
        <w:pBdr/>
        <w:bidi w:val="0"/>
        <w:spacing w:before="150" w:after="283"/>
        <w:ind w:left="24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50" w:after="283"/>
        <w:ind w:left="24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240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that for the purpose of determining liability of the Registrant under the Securities Act to any purchaser in the initial distribution of securities:</w:t>
      </w:r>
    </w:p>
    <w:p>
      <w:pPr>
        <w:pStyle w:val="TextBody"/>
        <w:keepNext w:val="false"/>
        <w:pageBreakBefore w:val="false"/>
        <w:widowControl/>
        <w:pBdr/>
        <w:bidi w:val="0"/>
        <w:spacing w:before="160" w:after="283"/>
        <w:ind w:left="144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 under the Securities Act;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free writing prospectus relating to the offering prepared by or on behalf of the undersigned Registrant or used or referred to by the undersigned Registrants;</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Not applicable.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Registrant undertakes to send by first class mail or other means designed to ensure equally prompt delivery, within two business days of receipt of a written or oral request, any prospectus or Statement of Additional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the Registrant has duly caused this Pre-Effective Amendment No. 2 to the Registration Statement on Form N-2 to be signed on its behalf by the undersigned, thereunto duly authorized, in the Township of Greenwich, in the State of Connecticut, on this 16th day of April, 2026.</w:t>
      </w:r>
    </w:p>
    <w:tbl>
      <w:tblPr>
        <w:tblW w:w="4955" w:type="dxa"/>
        <w:jc w:val="left"/>
        <w:tblInd w:w="0" w:type="dxa"/>
        <w:tblLayout w:type="fixed"/>
        <w:tblCellMar>
          <w:top w:w="0" w:type="dxa"/>
          <w:left w:w="0" w:type="dxa"/>
          <w:bottom w:w="0" w:type="dxa"/>
          <w:right w:w="0" w:type="dxa"/>
        </w:tblCellMar>
      </w:tblPr>
      <w:tblGrid>
        <w:gridCol w:w="161"/>
        <w:gridCol w:w="146"/>
        <w:gridCol w:w="421"/>
        <w:gridCol w:w="146"/>
        <w:gridCol w:w="408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4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CAPITAL CORP.</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408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8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Jonathan H. Cohen </w:t>
              <w:br/>
              <w:t>Chief Executive Officer and Director</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this Pre-Effective Amendment No. 2 to the Registration Statement on Form N-2 has been signed by the following persons on behalf of the Registrant, in the capacities indicated, on this 16th day of April, 2026. This document may be executed by the signatories hereto on any number of counterparts, all of which shall constitute one and the same instrument.</w:t>
      </w:r>
    </w:p>
    <w:tbl>
      <w:tblPr>
        <w:tblW w:w="8128" w:type="dxa"/>
        <w:jc w:val="left"/>
        <w:tblInd w:w="0" w:type="dxa"/>
        <w:tblLayout w:type="fixed"/>
        <w:tblCellMar>
          <w:top w:w="0" w:type="dxa"/>
          <w:left w:w="0" w:type="dxa"/>
          <w:bottom w:w="0" w:type="dxa"/>
          <w:right w:w="0" w:type="dxa"/>
        </w:tblCellMar>
      </w:tblPr>
      <w:tblGrid>
        <w:gridCol w:w="2206"/>
        <w:gridCol w:w="146"/>
        <w:gridCol w:w="5776"/>
      </w:tblGrid>
      <w:tr>
        <w:trPr/>
        <w:tc>
          <w:tcPr>
            <w:tcW w:w="22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57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20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Jonathan H. Cohen</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2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r>
      <w:tr>
        <w:trPr/>
        <w:tc>
          <w:tcPr>
            <w:tcW w:w="220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776"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Steven P. Novak</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and Director </w:t>
            </w:r>
          </w:p>
        </w:tc>
      </w:tr>
      <w:tr>
        <w:trPr/>
        <w:tc>
          <w:tcPr>
            <w:tcW w:w="220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776"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Charles M. Royce</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776"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Barry A. Osherow</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5776" w:type="dxa"/>
            <w:tcBorders/>
          </w:tcPr>
          <w:p>
            <w:pPr>
              <w:pStyle w:val="TableContents"/>
              <w:bidi w:val="0"/>
              <w:spacing w:before="0" w:after="283"/>
              <w:jc w:val="left"/>
              <w:rPr/>
            </w:pPr>
            <w:r>
              <w:rPr/>
              <w:t> </w:t>
            </w:r>
          </w:p>
        </w:tc>
      </w:tr>
      <w:tr>
        <w:trPr/>
        <w:tc>
          <w:tcPr>
            <w:tcW w:w="22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George Stelljes III</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20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Bruce L. Rubin</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Treasurer and Corporate Secretary</w:t>
            </w:r>
          </w:p>
        </w:tc>
      </w:tr>
      <w:tr>
        <w:trPr/>
        <w:tc>
          <w:tcPr>
            <w:tcW w:w="22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Bruce L. Rubin</w:t>
            </w:r>
          </w:p>
        </w:tc>
        <w:tc>
          <w:tcPr>
            <w:tcW w:w="146" w:type="dxa"/>
            <w:tcBorders/>
          </w:tcPr>
          <w:p>
            <w:pPr>
              <w:pStyle w:val="TableContents"/>
              <w:bidi w:val="0"/>
              <w:spacing w:before="0" w:after="283"/>
              <w:jc w:val="left"/>
              <w:rPr/>
            </w:pPr>
            <w:r>
              <w:rPr/>
              <w:t> </w:t>
            </w:r>
          </w:p>
        </w:tc>
        <w:tc>
          <w:tcPr>
            <w:tcW w:w="57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Signed by Jonathan H. Cohen pursuant to a power of attorney signed by each individual and filed with this Registration Statement on September 25, 2025.</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C-8</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286432-01_ex99n1.htm"/>
      <w:bookmarkStart w:id="36" w:name="ksea028643201_ex99n1"/>
      <w:bookmarkEnd w:id="35"/>
      <w:bookmarkEnd w:id="36"/>
      <w:r>
        <w:rPr>
          <w:rFonts w:ascii="Times New Roman;Times;Serif" w:hAnsi="Times New Roman;Times;Serif"/>
          <w:b/>
          <w:i w:val="false"/>
          <w:caps w:val="false"/>
          <w:smallCaps w:val="false"/>
          <w:sz w:val="20"/>
        </w:rPr>
        <w:t>Exhibit (n)(1)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N-2 of Oxford Square Capital Corp. of our report dated March 5, 2026 relating to the financial statements, which appears in Oxford Square Capital Corp.'s Annual Report on Form 10-K for the year ended December 31, 2025. We also consent to the references to us under the headings “Senior Securities” and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37" w:name="ea0286432-01_ex99s.htm"/>
      <w:bookmarkStart w:id="38" w:name="ksea028643201_ex99s"/>
      <w:bookmarkEnd w:id="37"/>
      <w:bookmarkEnd w:id="3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N-2</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Oxford Square Capital Corp.</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5550" w:type="dxa"/>
        <w:jc w:val="left"/>
        <w:tblInd w:w="0" w:type="dxa"/>
        <w:tblLayout w:type="fixed"/>
        <w:tblCellMar>
          <w:top w:w="0" w:type="dxa"/>
          <w:left w:w="0" w:type="dxa"/>
          <w:bottom w:w="0" w:type="dxa"/>
          <w:right w:w="0" w:type="dxa"/>
        </w:tblCellMar>
      </w:tblPr>
      <w:tblGrid>
        <w:gridCol w:w="1040"/>
        <w:gridCol w:w="60"/>
        <w:gridCol w:w="1160"/>
        <w:gridCol w:w="60"/>
        <w:gridCol w:w="1205"/>
        <w:gridCol w:w="60"/>
        <w:gridCol w:w="575"/>
        <w:gridCol w:w="60"/>
        <w:gridCol w:w="1100"/>
        <w:gridCol w:w="60"/>
        <w:gridCol w:w="1025"/>
        <w:gridCol w:w="60"/>
        <w:gridCol w:w="696"/>
        <w:gridCol w:w="299"/>
        <w:gridCol w:w="60"/>
        <w:gridCol w:w="140"/>
        <w:gridCol w:w="1520"/>
        <w:gridCol w:w="60"/>
        <w:gridCol w:w="1040"/>
        <w:gridCol w:w="60"/>
        <w:gridCol w:w="140"/>
        <w:gridCol w:w="1160"/>
        <w:gridCol w:w="60"/>
        <w:gridCol w:w="830"/>
        <w:gridCol w:w="60"/>
        <w:gridCol w:w="830"/>
        <w:gridCol w:w="60"/>
        <w:gridCol w:w="875"/>
        <w:gridCol w:w="60"/>
        <w:gridCol w:w="140"/>
        <w:gridCol w:w="995"/>
      </w:tblGrid>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04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or Carry Forward 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Amount of Registration Fee</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left"/>
              <w:rPr/>
            </w:pPr>
            <w:r>
              <w:rPr/>
              <w:t>Carry Forward Form Type</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left"/>
              <w:rPr/>
            </w:pPr>
            <w:r>
              <w:rPr/>
              <w:t>Carry Forward File Number</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left"/>
              <w:rPr/>
            </w:pPr>
            <w:r>
              <w:rPr/>
              <w:t>Carry Forward Initial Effective Date</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left"/>
              <w:rPr/>
            </w:pPr>
            <w:r>
              <w:rPr/>
              <w:t>Filing Fee Previously Paid in Connection with</w:t>
              <w:br/>
              <w:t>Unsold Securities</w:t>
              <w:br/>
              <w:t>to be</w:t>
              <w:br/>
              <w:t>Carried Forward</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5550" w:type="dxa"/>
            <w:gridSpan w:val="31"/>
            <w:tcBorders/>
            <w:vAlign w:val="center"/>
          </w:tcPr>
          <w:p>
            <w:pPr>
              <w:pStyle w:val="TableContents"/>
              <w:bidi w:val="0"/>
              <w:spacing w:before="0" w:after="283"/>
              <w:jc w:val="center"/>
              <w:rPr>
                <w:i/>
              </w:rPr>
            </w:pPr>
            <w:r>
              <w:rPr>
                <w:i/>
              </w:rPr>
              <w:t>Newly Registered Securities</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Subscription 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10,154,395.00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1,402.32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Subscription 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Fees Previously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3,044,043.03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420.38</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5550" w:type="dxa"/>
            <w:gridSpan w:val="31"/>
            <w:tcBorders/>
            <w:vAlign w:val="center"/>
          </w:tcPr>
          <w:p>
            <w:pPr>
              <w:pStyle w:val="TableContents"/>
              <w:bidi w:val="0"/>
              <w:spacing w:before="0" w:after="283"/>
              <w:jc w:val="center"/>
              <w:rPr>
                <w:i/>
              </w:rPr>
            </w:pPr>
            <w:r>
              <w:rPr>
                <w:i/>
              </w:rPr>
              <w:t>Carry Forward Securities</w:t>
            </w:r>
          </w:p>
        </w:tc>
      </w:tr>
      <w:tr>
        <w:trPr/>
        <w:tc>
          <w:tcPr>
            <w:tcW w:w="104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333-265533</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09/26/2022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par value $0.01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333-265533</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09/26/2022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(8)</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333-265533</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09/26/2022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Subscription 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(9)</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333-265533</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09/26/2022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(10)</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333-265533</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09/26/2022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04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(11)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286,801,561.97</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N-2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333-265533</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09/26/2022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33,326.34</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top w:val="single" w:sz="8" w:space="0" w:color="000000"/>
            </w:tcBorders>
            <w:tcMar>
              <w:top w:w="28" w:type="dxa"/>
            </w:tcMar>
            <w:vAlign w:val="center"/>
          </w:tcPr>
          <w:p>
            <w:pPr>
              <w:pStyle w:val="TableContents"/>
              <w:bidi w:val="0"/>
              <w:spacing w:before="0" w:after="283"/>
              <w:jc w:val="left"/>
              <w:rPr/>
            </w:pPr>
            <w:r>
              <w:rPr/>
              <w:t> </w:t>
            </w:r>
          </w:p>
        </w:tc>
        <w:tc>
          <w:tcPr>
            <w:tcW w:w="152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top w:val="single" w:sz="8" w:space="0" w:color="000000"/>
            </w:tcBorders>
            <w:tcMar>
              <w:top w:w="28" w:type="dxa"/>
            </w:tcMar>
            <w:vAlign w:val="center"/>
          </w:tcPr>
          <w:p>
            <w:pPr>
              <w:pStyle w:val="TableContents"/>
              <w:bidi w:val="0"/>
              <w:spacing w:before="0" w:after="283"/>
              <w:jc w:val="left"/>
              <w:rPr/>
            </w:pPr>
            <w:r>
              <w:rPr/>
              <w:t> </w:t>
            </w:r>
          </w:p>
        </w:tc>
        <w:tc>
          <w:tcPr>
            <w:tcW w:w="11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46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1,822.70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46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420.38</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46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46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w:t>
            </w:r>
          </w:p>
        </w:tc>
        <w:tc>
          <w:tcPr>
            <w:tcW w:w="1160" w:type="dxa"/>
            <w:tcBorders>
              <w:bottom w:val="double" w:sz="8" w:space="0" w:color="000000"/>
            </w:tcBorders>
            <w:tcMar>
              <w:bottom w:w="28" w:type="dxa"/>
            </w:tcMar>
            <w:vAlign w:val="center"/>
          </w:tcPr>
          <w:p>
            <w:pPr>
              <w:pStyle w:val="TableContents"/>
              <w:bidi w:val="0"/>
              <w:spacing w:before="0" w:after="283"/>
              <w:jc w:val="right"/>
              <w:rPr/>
            </w:pPr>
            <w:r>
              <w:rPr/>
              <w:t>1,402.32</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below, 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below, 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below, 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51"/>
        <w:gridCol w:w="23"/>
        <w:gridCol w:w="9931"/>
      </w:tblGrid>
      <w:tr>
        <w:trPr/>
        <w:tc>
          <w:tcPr>
            <w:tcW w:w="251"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31"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below, there is being registered hereunder an indeterminate number of subscription rights as may be sold, from time to time, representing rights to purchase common stock.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$300,000,000.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above, 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above, 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(8)</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above, 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251"/>
        <w:gridCol w:w="23"/>
        <w:gridCol w:w="9931"/>
      </w:tblGrid>
      <w:tr>
        <w:trPr/>
        <w:tc>
          <w:tcPr>
            <w:tcW w:w="251" w:type="dxa"/>
            <w:tcBorders/>
            <w:vAlign w:val="center"/>
          </w:tcPr>
          <w:p>
            <w:pPr>
              <w:pStyle w:val="TableContents"/>
              <w:bidi w:val="0"/>
              <w:spacing w:before="0" w:after="283"/>
              <w:jc w:val="right"/>
              <w:rPr/>
            </w:pPr>
            <w:r>
              <w:rPr/>
              <w:t>(9)</w:t>
            </w:r>
          </w:p>
        </w:tc>
        <w:tc>
          <w:tcPr>
            <w:tcW w:w="23" w:type="dxa"/>
            <w:tcBorders/>
            <w:vAlign w:val="center"/>
          </w:tcPr>
          <w:p>
            <w:pPr>
              <w:pStyle w:val="TableContents"/>
              <w:bidi w:val="0"/>
              <w:spacing w:before="0" w:after="283"/>
              <w:jc w:val="left"/>
              <w:rPr>
                <w:sz w:val="4"/>
                <w:szCs w:val="4"/>
              </w:rPr>
            </w:pPr>
            <w:r>
              <w:rPr>
                <w:sz w:val="4"/>
                <w:szCs w:val="4"/>
              </w:rPr>
            </w:r>
          </w:p>
        </w:tc>
        <w:tc>
          <w:tcPr>
            <w:tcW w:w="9931"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above, there is being registered hereunder an indeterminate number of subscription rights as may be sold, from time to time, representing rights to purchase common stock.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364"/>
        <w:gridCol w:w="23"/>
        <w:gridCol w:w="9818"/>
      </w:tblGrid>
      <w:tr>
        <w:trPr/>
        <w:tc>
          <w:tcPr>
            <w:tcW w:w="364" w:type="dxa"/>
            <w:tcBorders/>
            <w:vAlign w:val="center"/>
          </w:tcPr>
          <w:p>
            <w:pPr>
              <w:pStyle w:val="TableContents"/>
              <w:bidi w:val="0"/>
              <w:spacing w:before="0" w:after="283"/>
              <w:jc w:val="right"/>
              <w:rPr/>
            </w:pPr>
            <w:r>
              <w:rPr/>
              <w:t>(10)</w:t>
            </w:r>
          </w:p>
        </w:tc>
        <w:tc>
          <w:tcPr>
            <w:tcW w:w="23" w:type="dxa"/>
            <w:tcBorders/>
            <w:vAlign w:val="center"/>
          </w:tcPr>
          <w:p>
            <w:pPr>
              <w:pStyle w:val="TableContents"/>
              <w:bidi w:val="0"/>
              <w:spacing w:before="0" w:after="283"/>
              <w:jc w:val="left"/>
              <w:rPr>
                <w:sz w:val="4"/>
                <w:szCs w:val="4"/>
              </w:rPr>
            </w:pPr>
            <w:r>
              <w:rPr>
                <w:sz w:val="4"/>
                <w:szCs w:val="4"/>
              </w:rPr>
            </w:r>
          </w:p>
        </w:tc>
        <w:tc>
          <w:tcPr>
            <w:tcW w:w="9818"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Subject to Note 5 above,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$300,000,000. In no event will the aggregate offering price of all securities issued from time to time pursuant to this registration statement exceed $300,000,000.</w:t>
            </w:r>
          </w:p>
        </w:tc>
      </w:tr>
    </w:tbl>
    <w:tbl>
      <w:tblPr>
        <w:tblW w:w="10205" w:type="dxa"/>
        <w:jc w:val="left"/>
        <w:tblInd w:w="0" w:type="dxa"/>
        <w:tblLayout w:type="fixed"/>
        <w:tblCellMar>
          <w:top w:w="0" w:type="dxa"/>
          <w:left w:w="0" w:type="dxa"/>
          <w:bottom w:w="0" w:type="dxa"/>
          <w:right w:w="0" w:type="dxa"/>
        </w:tblCellMar>
      </w:tblPr>
      <w:tblGrid>
        <w:gridCol w:w="352"/>
        <w:gridCol w:w="23"/>
        <w:gridCol w:w="9830"/>
      </w:tblGrid>
      <w:tr>
        <w:trPr/>
        <w:tc>
          <w:tcPr>
            <w:tcW w:w="352" w:type="dxa"/>
            <w:tcBorders/>
            <w:vAlign w:val="center"/>
          </w:tcPr>
          <w:p>
            <w:pPr>
              <w:pStyle w:val="TableContents"/>
              <w:bidi w:val="0"/>
              <w:spacing w:before="0" w:after="283"/>
              <w:jc w:val="right"/>
              <w:rPr/>
            </w:pPr>
            <w:r>
              <w:rPr/>
              <w:t>(11)</w:t>
            </w:r>
          </w:p>
        </w:tc>
        <w:tc>
          <w:tcPr>
            <w:tcW w:w="23" w:type="dxa"/>
            <w:tcBorders/>
            <w:vAlign w:val="center"/>
          </w:tcPr>
          <w:p>
            <w:pPr>
              <w:pStyle w:val="TableContents"/>
              <w:bidi w:val="0"/>
              <w:spacing w:before="0" w:after="283"/>
              <w:jc w:val="left"/>
              <w:rPr>
                <w:sz w:val="4"/>
                <w:szCs w:val="4"/>
              </w:rPr>
            </w:pPr>
            <w:r>
              <w:rPr>
                <w:sz w:val="4"/>
                <w:szCs w:val="4"/>
              </w:rPr>
            </w:r>
          </w:p>
        </w:tc>
        <w:tc>
          <w:tcPr>
            <w:tcW w:w="9830" w:type="dxa"/>
            <w:tcBorders/>
            <w:vAlign w:val="center"/>
          </w:tcPr>
          <w:p>
            <w:pPr>
              <w:pStyle w:val="TableContents"/>
              <w:bidi w:val="0"/>
              <w:spacing w:before="0" w:after="283"/>
              <w:jc w:val="both"/>
              <w:rPr/>
            </w:pPr>
            <w:r>
              <w:rPr/>
              <w:t>Estimated pursuant to Rule 457(o) solely for the purposes of determining the registration fee. The proposed maximum offering price per security will be determined, from time to time, by the Registrant in connection with the sale by the Registrant of the securities registered under this registration statement.</w:t>
              <w:br/>
              <w:br/>
              <w:t>Pursuant to Rule 415(a)(6) under the Securities Act of 1933, as amended (the “Securities Act”), this registration statement includes $286,801,561.97 aggregate principal offering price of unsold securities (the “Unsold Securities”) that were previously registered for sale on a Registration Statement on Form N-2 (File No. 333-265533) initially filed on June 10, 2022, as amended on September 21, 2022, and declared effective on September 26, 2022 (the “2022 Registration Statement”). The Unsold Securities were previously registered for sale under a Registration Statement on Form N-2 (File No. 333-202672) initially filed on March 11, 2015, as amended on July 17, 2015, November 16, 2016 and January 11, 2017, and declared effective on January 13, 2017 (the “2017 Registration Statement”). A filing fee of $69,540 was paid in connection with the 2017 Registration Statement. Pursuant to Rule 415(a)(6) under the Securities Act, $535,629,775 aggregate principal amount of unsold securities from the 2017 Registration Statement were carried forward to a Registration Statement on Form N-2 (File No. 333-229337) initially filed on January 23, 2019, as amended on March 7, 2019 and March 25, 2019, and declared effective on March 25, 2019 (the “2019 Registration Statement”). Pursuant to 415(a)(6) under the Securities Act, $464,406,568 aggregate principal amount of unsold securities from the 2019 Registration Statement were carried forward to the 2022 Registration Statement. Pursuant to Rule 415(a)(6) under the Securities Act, the $286,801,561.97 aggregate principal amount of Unsold Securities from the 2022 Registration Statement are being carried forward to this Registration Statement on Form N-2. The $33,326.34 of filing fees previously paid in connection with the Unsold Securities reflected in the table above reflects the filing fees paid by the Company with respect to the Unsold Securities based on the filing fee in effect when such fees were paid in connection with the 2017 Registration Statement. Pursuant to Rule 415(a)(6) under the Securities Act, the offering of unsold securities under the Prior Registration Statement will be deemed terminated as of the date of effectiveness of this Registration Statement.</w:t>
            </w:r>
          </w:p>
        </w:tc>
      </w:tr>
    </w:tbl>
    <w:p>
      <w:pPr>
        <w:pStyle w:val="TextBody"/>
        <w:bidi w:val="0"/>
        <w:spacing w:before="0" w:after="283"/>
        <w:jc w:val="left"/>
        <w:rPr/>
      </w:pPr>
      <w:r>
        <w:rPr/>
      </w:r>
      <w:r>
        <w:br w:type="page"/>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259429/000121390026024280/ea0276931_10k.htm" TargetMode="External"/><Relationship Id="rId5" Type="http://schemas.openxmlformats.org/officeDocument/2006/relationships/hyperlink" Target="http://www.sec.gov/Archives/edgar/data/1259429/000121390026024280/ea0276931_10k.htm" TargetMode="External"/><Relationship Id="rId6" Type="http://schemas.openxmlformats.org/officeDocument/2006/relationships/hyperlink" Target="http://www.sec.gov/Archives/edgar/data/1259429/000121390026024280/ea0276931_10k.htm" TargetMode="External"/><Relationship Id="rId7" Type="http://schemas.openxmlformats.org/officeDocument/2006/relationships/hyperlink" Target="http://www.sec.gov/Archives/edgar/data/1259429/000121390026024280/ea0276931_10k.htm" TargetMode="External"/><Relationship Id="rId8" Type="http://schemas.openxmlformats.org/officeDocument/2006/relationships/hyperlink" Target="http://www.sec.gov/Archives/edgar/data/1259429/000121390026024280/ea0276931_10k.htm" TargetMode="External"/><Relationship Id="rId9" Type="http://schemas.openxmlformats.org/officeDocument/2006/relationships/hyperlink" Target="http://www.sec.gov/Archives/edgar/data/1259429/000121390026024280/ea0276931_10k.htm" TargetMode="External"/><Relationship Id="rId10" Type="http://schemas.openxmlformats.org/officeDocument/2006/relationships/hyperlink" Target="http://www.sec.gov/Archives/edgar/data/1259429/000121390026024280/ea0276931_10k.htm" TargetMode="External"/><Relationship Id="rId11" Type="http://schemas.openxmlformats.org/officeDocument/2006/relationships/hyperlink" Target="http://www.sec.gov/Archives/edgar/data/1259429/000121390025062069/ea0247876-01_def14a.htm" TargetMode="External"/><Relationship Id="rId12" Type="http://schemas.openxmlformats.org/officeDocument/2006/relationships/hyperlink" Target="http://www.sec.gov/Archives/edgar/data/1259429/000121390026024280/ea0276931_10k.htm" TargetMode="External"/><Relationship Id="rId13" Type="http://schemas.openxmlformats.org/officeDocument/2006/relationships/hyperlink" Target="http://www.sec.gov/Archives/edgar/data/1259429/000121390026024280/ea0276931_10k.htm" TargetMode="External"/><Relationship Id="rId14" Type="http://schemas.openxmlformats.org/officeDocument/2006/relationships/hyperlink" Target="http://www.sec.gov/Archives/edgar/data/1259429/000121390026024280/ea0276931_10k.htm" TargetMode="External"/><Relationship Id="rId15" Type="http://schemas.openxmlformats.org/officeDocument/2006/relationships/hyperlink" Target="http://www.sec.gov/Archives/edgar/data/1259429/000121390025062069/ea0247876-01_def14a.htm" TargetMode="External"/><Relationship Id="rId16" Type="http://schemas.openxmlformats.org/officeDocument/2006/relationships/hyperlink" Target="http://www.sec.gov/Archives/edgar/data/1259429/000121390026024280/ea0276931_10k.htm" TargetMode="External"/><Relationship Id="rId17" Type="http://schemas.openxmlformats.org/officeDocument/2006/relationships/hyperlink" Target="http://www.sec.gov/Archives/edgar/data/1259429/000121390026024280/ea0276931_10k.htm" TargetMode="External"/><Relationship Id="rId18" Type="http://schemas.openxmlformats.org/officeDocument/2006/relationships/hyperlink" Target="http://www.sec.gov/Archives/edgar/data/1259429/000121390026024280/ea0276931_10k.htm" TargetMode="External"/><Relationship Id="rId19" Type="http://schemas.openxmlformats.org/officeDocument/2006/relationships/hyperlink" Target="http://www.sec.gov/Archives/edgar/data/1259429/000121390025062069/ea0247876-01_def14a.htm" TargetMode="External"/><Relationship Id="rId20" Type="http://schemas.openxmlformats.org/officeDocument/2006/relationships/hyperlink" Target="http://www.sec.gov/Archives/edgar/data/1259429/000121390026024280/ea0276931_ex4-3.htm" TargetMode="External"/><Relationship Id="rId21" Type="http://schemas.openxmlformats.org/officeDocument/2006/relationships/hyperlink" Target="http://www.sec.gov/Archives/edgar/data/1259429/000121390026024280/ea0276931_10k.htm" TargetMode="External"/><Relationship Id="rId22" Type="http://schemas.openxmlformats.org/officeDocument/2006/relationships/hyperlink" Target="http://www.sec.gov/Archives/edgar/data/1259429/000095013603002340/file001.txt" TargetMode="External"/><Relationship Id="rId23" Type="http://schemas.openxmlformats.org/officeDocument/2006/relationships/image" Target="media/image1.jpeg"/><Relationship Id="rId24" Type="http://schemas.openxmlformats.org/officeDocument/2006/relationships/hyperlink" Target="http://www.sec.gov/Archives/edgar/data/1259429/000095013603002344/file002.txt" TargetMode="External"/><Relationship Id="rId25" Type="http://schemas.openxmlformats.org/officeDocument/2006/relationships/hyperlink" Target="http://www.sec.gov/Archives/edgar/data/1259429/000119312507257974/dex31.htm" TargetMode="External"/><Relationship Id="rId26" Type="http://schemas.openxmlformats.org/officeDocument/2006/relationships/hyperlink" Target="http://www.sec.gov/Archives/edgar/data/1259429/000161577418001990/s109409_ex3-1.htm" TargetMode="External"/><Relationship Id="rId27" Type="http://schemas.openxmlformats.org/officeDocument/2006/relationships/hyperlink" Target="http://www.sec.gov/Archives/edgar/data/1259429/000161577418001990/s109409_ex3-2.htm" TargetMode="External"/><Relationship Id="rId28" Type="http://schemas.openxmlformats.org/officeDocument/2006/relationships/hyperlink" Target="http://www.sec.gov/Archives/edgar/data/1259429/000114420413001995/v330072_ex-a3.htm" TargetMode="External"/><Relationship Id="rId29" Type="http://schemas.openxmlformats.org/officeDocument/2006/relationships/hyperlink" Target="http://www.sec.gov/Archives/edgar/data/1259429/000121390022010801/s135264_ex3-5.htm" TargetMode="External"/><Relationship Id="rId30" Type="http://schemas.openxmlformats.org/officeDocument/2006/relationships/hyperlink" Target="http://www.sec.gov/Archives/edgar/data/1259429/000095013603002344/file004.txt" TargetMode="External"/><Relationship Id="rId31" Type="http://schemas.openxmlformats.org/officeDocument/2006/relationships/hyperlink" Target="http://www.sec.gov/Archives/edgar/data/1259429/000114420413001995/v330072_ex-d4.htm" TargetMode="External"/><Relationship Id="rId32" Type="http://schemas.openxmlformats.org/officeDocument/2006/relationships/hyperlink" Target="http://www.sec.gov/Archives/edgar/data/1259429/000121390025091644/ea0257892-01_ex99d3.htm" TargetMode="External"/><Relationship Id="rId33" Type="http://schemas.openxmlformats.org/officeDocument/2006/relationships/hyperlink" Target="http://www.sec.gov/Archives/edgar/data/1259429/000121390021028161/s132141_ex4-1.htm" TargetMode="External"/><Relationship Id="rId34" Type="http://schemas.openxmlformats.org/officeDocument/2006/relationships/hyperlink" Target="http://www.sec.gov/Archives/edgar/data/1259429/000121390021028161/s132141_ex4-1.htm" TargetMode="External"/><Relationship Id="rId35" Type="http://schemas.openxmlformats.org/officeDocument/2006/relationships/hyperlink" Target="http://www.sec.gov/Archives/edgar/data/1259429/000121390025073091/ea025210701_ex4-1.htm" TargetMode="External"/><Relationship Id="rId36" Type="http://schemas.openxmlformats.org/officeDocument/2006/relationships/hyperlink" Target="http://www.sec.gov/Archives/edgar/data/1259429/000121390025073091/ea025210701_ex4-1.htm" TargetMode="External"/><Relationship Id="rId37" Type="http://schemas.openxmlformats.org/officeDocument/2006/relationships/hyperlink" Target="http://www.sec.gov/Archives/edgar/data/1259429/000114420415013776/v401553_ex10-4.htm" TargetMode="External"/><Relationship Id="rId38" Type="http://schemas.openxmlformats.org/officeDocument/2006/relationships/hyperlink" Target="http://www.sec.gov/Archives/edgar/data/1259429/000119312511180217/dex101.htm" TargetMode="External"/><Relationship Id="rId39" Type="http://schemas.openxmlformats.org/officeDocument/2006/relationships/hyperlink" Target="http://www.sec.gov/Archives/edgar/data/1259429/000114420416087056/v433919_ex10-1.htm" TargetMode="External"/><Relationship Id="rId40" Type="http://schemas.openxmlformats.org/officeDocument/2006/relationships/hyperlink" Target="http://www.sec.gov/Archives/edgar/data/1259429/000119312510230315/dex99h.htm" TargetMode="External"/><Relationship Id="rId41" Type="http://schemas.openxmlformats.org/officeDocument/2006/relationships/hyperlink" Target="http://www.sec.gov/Archives/edgar/data/1259429/000121390024069990/ea021157501_ex1-1.htm" TargetMode="External"/><Relationship Id="rId42" Type="http://schemas.openxmlformats.org/officeDocument/2006/relationships/hyperlink" Target="http://www.sec.gov/Archives/edgar/data/1259429/000114420414065672/v393163_ex10-2.htm" TargetMode="External"/><Relationship Id="rId43" Type="http://schemas.openxmlformats.org/officeDocument/2006/relationships/hyperlink" Target="http://www.sec.gov/Archives/edgar/data/1259429/000114420412027496/v312246_ex10-3.htm" TargetMode="External"/><Relationship Id="rId44" Type="http://schemas.openxmlformats.org/officeDocument/2006/relationships/hyperlink" Target="http://www.sec.gov/Archives/edgar/data/1259429/000121390026004397/ea0272082-01_ex99l1.htm" TargetMode="External"/><Relationship Id="rId45" Type="http://schemas.openxmlformats.org/officeDocument/2006/relationships/hyperlink" Target="http://www.sec.gov/Archives/edgar/data/1259429/000121390025020801/ea0229536_ex19-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45278</Words>
  <Characters>237959</Characters>
  <CharactersWithSpaces>286766</CharactersWithSpaces>
  <Paragraphs>6173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