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60" w:after="283"/>
        <w:ind w:left="0" w:right="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FORM 10-Q</w:t>
      </w:r>
    </w:p>
    <w:p>
      <w:pPr>
        <w:pStyle w:val="TextBody"/>
        <w:keepNext w:val="true"/>
        <w:pageBreakBefore w:val="false"/>
        <w:widowControl/>
        <w:pBdr/>
        <w:bidi w:val="0"/>
        <w:spacing w:before="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tbl>
      <w:tblPr>
        <w:tblW w:w="10205" w:type="dxa"/>
        <w:jc w:val="left"/>
        <w:tblInd w:w="0" w:type="dxa"/>
        <w:tblLayout w:type="fixed"/>
        <w:tblCellMar>
          <w:top w:w="0" w:type="dxa"/>
          <w:left w:w="0" w:type="dxa"/>
          <w:bottom w:w="0" w:type="dxa"/>
          <w:right w:w="0" w:type="dxa"/>
        </w:tblCellMar>
      </w:tblPr>
      <w:tblGrid>
        <w:gridCol w:w="161"/>
        <w:gridCol w:w="146"/>
        <w:gridCol w:w="1163"/>
        <w:gridCol w:w="146"/>
        <w:gridCol w:w="8589"/>
      </w:tblGrid>
      <w:t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pPr>
            <w:r>
              <w:t> </w:t>
            </w:r>
          </w:p>
        </w:tc>
        <w:tc>
          <w:tcPr>
            <w:tcW w:w="116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(Mark One)</w:t>
            </w:r>
          </w:p>
        </w:tc>
        <w:tc>
          <w:tcPr>
            <w:tcW w:w="146" w:type="dxa"/>
            <w:tcBorders/>
          </w:tcPr>
          <w:p>
            <w:pPr>
              <w:pStyle w:val="TableContents"/>
              <w:bidi w:val="0"/>
              <w:spacing w:before="0" w:after="283"/>
              <w:jc w:val="left"/>
            </w:pPr>
            <w:r>
              <w:t> </w:t>
            </w:r>
          </w:p>
        </w:tc>
        <w:tc>
          <w:tcPr>
            <w:tcW w:w="8589" w:type="dxa"/>
            <w:tcBorders/>
          </w:tcPr>
          <w:p>
            <w:pPr>
              <w:pStyle w:val="TableContents"/>
              <w:bidi w:val="0"/>
              <w:spacing w:before="0" w:after="283"/>
              <w:jc w:val="left"/>
            </w:pPr>
            <w:r>
              <w:t> </w:t>
            </w:r>
          </w:p>
        </w:tc>
      </w:tr>
      <w:tr>
        <w:tc>
          <w:tcPr>
            <w:tcW w:w="16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1163" w:type="dxa"/>
            <w:tcBorders/>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tcPr>
          <w:p>
            <w:pPr>
              <w:pStyle w:val="TableContents"/>
              <w:bidi w:val="0"/>
              <w:spacing w:before="0" w:after="283"/>
              <w:jc w:val="left"/>
            </w:pPr>
            <w:r>
              <w:t> </w:t>
            </w:r>
          </w:p>
        </w:tc>
        <w:tc>
          <w:tcPr>
            <w:tcW w:w="8589"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QUARTERLY REPORT PURSUANT TO SECTION 13 OR 15(d) OF THE SECURITIES EXCHANGE ACT OF 1934</w:t>
            </w:r>
          </w:p>
        </w:tc>
      </w:tr>
      <w:tr>
        <w:tc>
          <w:tcPr>
            <w:tcW w:w="10205" w:type="dxa"/>
            <w:gridSpan w:val="5"/>
            <w:tcBorders/>
          </w:tcPr>
          <w:p>
            <w:pPr>
              <w:pStyle w:val="TableContents"/>
              <w:keepNext w:val="false"/>
              <w:widowControl/>
              <w:pBdr/>
              <w:bidi w:val="0"/>
              <w:spacing w:before="160" w:after="283"/>
              <w:ind w:left="200" w:right="0" w:hanging="200"/>
              <w:jc w:val="center"/>
              <w:rPr>
                <w:rFonts w:ascii="Times New Roman PS Std;serif" w:hAnsi="Times New Roman PS Std;serif"/>
                <w:b/>
                <w:i w:val="false"/>
                <w:caps/>
                <w:sz w:val="20"/>
              </w:rPr>
            </w:pPr>
            <w:r>
              <w:rPr>
                <w:rFonts w:ascii="Times New Roman PS Std;serif" w:hAnsi="Times New Roman PS Std;serif"/>
                <w:b/>
                <w:i w:val="false"/>
                <w:caps/>
                <w:sz w:val="20"/>
              </w:rPr>
              <w:t>FOR THE QUARTERLY PERIOD ENDED September 30, 2026</w:t>
            </w:r>
          </w:p>
        </w:tc>
      </w:tr>
      <w:tr>
        <w:tc>
          <w:tcPr>
            <w:tcW w:w="16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1163" w:type="dxa"/>
            <w:tcBorders/>
          </w:tcPr>
          <w:p>
            <w:pPr>
              <w:pStyle w:val="TableContents"/>
              <w:keepNext w:val="false"/>
              <w:widowControl/>
              <w:pBdr/>
              <w:bidi w:val="0"/>
              <w:spacing w:before="160" w:after="283"/>
              <w:jc w:val="center"/>
              <w:rPr>
                <w:caps w:val="false"/>
                <w:smallCaps w:val="false"/>
              </w:rPr>
            </w:pPr>
            <w:r>
              <w:rPr>
                <w:caps w:val="false"/>
                <w:smallCaps w:val="false"/>
              </w:rPr>
              <w:t>☐</w:t>
            </w:r>
          </w:p>
        </w:tc>
        <w:tc>
          <w:tcPr>
            <w:tcW w:w="146" w:type="dxa"/>
            <w:tcBorders/>
          </w:tcPr>
          <w:p>
            <w:pPr>
              <w:pStyle w:val="TableContents"/>
              <w:bidi w:val="0"/>
              <w:spacing w:before="0" w:after="283"/>
              <w:jc w:val="left"/>
            </w:pPr>
            <w:r>
              <w:t> </w:t>
            </w:r>
          </w:p>
        </w:tc>
        <w:tc>
          <w:tcPr>
            <w:tcW w:w="8589" w:type="dxa"/>
            <w:tcBorders/>
          </w:tcPr>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TRANSITION REPORT PURSUANT TO SECTION 13 OR 15(d) OF THE SECURITIES EXCHANGE ACT OF 1934</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COMMISSION FILE NUMBER: 814-00638</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OXFORD SQUARE CAPITAL CORP.</w:t>
        <w:br/>
      </w:r>
      <w:r>
        <w:rPr>
          <w:rFonts w:ascii="Times New Roman PS Std;serif" w:hAnsi="Times New Roman PS Std;serif"/>
          <w:b w:val="false"/>
          <w:i w:val="false"/>
          <w:caps w:val="false"/>
          <w:smallCaps w:val="false"/>
          <w:sz w:val="20"/>
        </w:rPr>
        <w:t>(Exact name of registrant as specified in its charter)</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tbl>
      <w:tblPr>
        <w:tblW w:w="5637" w:type="dxa"/>
        <w:jc w:val="left"/>
        <w:tblInd w:w="0" w:type="dxa"/>
        <w:tblLayout w:type="fixed"/>
        <w:tblCellMar>
          <w:top w:w="0" w:type="dxa"/>
          <w:left w:w="0" w:type="dxa"/>
          <w:bottom w:w="0" w:type="dxa"/>
          <w:right w:w="0" w:type="dxa"/>
        </w:tblCellMar>
      </w:tblPr>
      <w:tblGrid>
        <w:gridCol w:w="161"/>
        <w:gridCol w:w="146"/>
        <w:gridCol w:w="3001"/>
        <w:gridCol w:w="146"/>
        <w:gridCol w:w="1846"/>
        <w:gridCol w:w="146"/>
        <w:gridCol w:w="191"/>
      </w:tblGrid>
      <w:t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30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MARYLAND</w:t>
            </w:r>
          </w:p>
        </w:tc>
        <w:tc>
          <w:tcPr>
            <w:tcW w:w="146" w:type="dxa"/>
            <w:tcBorders/>
            <w:vAlign w:val="bottom"/>
          </w:tcPr>
          <w:p>
            <w:pPr>
              <w:pStyle w:val="TableContents"/>
              <w:bidi w:val="0"/>
              <w:spacing w:before="0" w:after="283"/>
              <w:jc w:val="left"/>
            </w:pPr>
            <w:r>
              <w:t> </w:t>
            </w:r>
          </w:p>
        </w:tc>
        <w:tc>
          <w:tcPr>
            <w:tcW w:w="18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20-0188736</w:t>
            </w:r>
          </w:p>
        </w:tc>
        <w:tc>
          <w:tcPr>
            <w:tcW w:w="146"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r>
      <w:tr>
        <w:tc>
          <w:tcPr>
            <w:tcW w:w="16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0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or other jurisdiction of</w:t>
              <w:br/>
              <w:t>incorporation or organization)</w:t>
            </w:r>
          </w:p>
        </w:tc>
        <w:tc>
          <w:tcPr>
            <w:tcW w:w="146" w:type="dxa"/>
            <w:tcBorders/>
            <w:vAlign w:val="bottom"/>
          </w:tcPr>
          <w:p>
            <w:pPr>
              <w:pStyle w:val="TableContents"/>
              <w:bidi w:val="0"/>
              <w:spacing w:before="0" w:after="283"/>
              <w:jc w:val="left"/>
            </w:pPr>
            <w:r>
              <w:t> </w:t>
            </w:r>
          </w:p>
        </w:tc>
        <w:tc>
          <w:tcPr>
            <w:tcW w:w="184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(I.R.S. Employer</w:t>
              <w:br/>
              <w:t>Identification No.)</w:t>
            </w:r>
          </w:p>
        </w:tc>
        <w:tc>
          <w:tcPr>
            <w:tcW w:w="146" w:type="dxa"/>
            <w:tcBorders/>
            <w:vAlign w:val="bottom"/>
          </w:tcPr>
          <w:p>
            <w:pPr>
              <w:pStyle w:val="TableContents"/>
              <w:bidi w:val="0"/>
              <w:spacing w:before="0" w:after="283"/>
              <w:jc w:val="left"/>
            </w:pPr>
            <w:r>
              <w:t> </w:t>
            </w:r>
          </w:p>
        </w:tc>
        <w:tc>
          <w:tcPr>
            <w:tcW w:w="191" w:type="dxa"/>
            <w:tcBorders/>
            <w:vAlign w:val="bottom"/>
          </w:tcPr>
          <w:p>
            <w:pPr>
              <w:pStyle w:val="TableContents"/>
              <w:bidi w:val="0"/>
              <w:spacing w:before="0" w:after="283"/>
              <w:jc w:val="left"/>
            </w:pPr>
            <w:r>
              <w:t> </w:t>
            </w:r>
          </w:p>
        </w:tc>
      </w:tr>
    </w:tbl>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SOUND SHORE DRIVE, SUITE 255</w:t>
        <w:br/>
        <w:t>GREENWICH, CONNECTICUT 06830</w:t>
        <w:br/>
      </w:r>
      <w:r>
        <w:rPr>
          <w:rFonts w:ascii="Times New Roman PS Std;serif" w:hAnsi="Times New Roman PS Std;serif"/>
          <w:b w:val="false"/>
          <w:i w:val="false"/>
          <w:caps w:val="false"/>
          <w:smallCaps w:val="false"/>
          <w:sz w:val="20"/>
        </w:rPr>
        <w:t>(Address of principal executive office)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(203) 983-5275</w:t>
        <w:br/>
      </w:r>
      <w:r>
        <w:rPr>
          <w:rFonts w:ascii="Times New Roman PS Std;serif" w:hAnsi="Times New Roman PS Std;serif"/>
          <w:b w:val="false"/>
          <w:i w:val="false"/>
          <w:caps w:val="false"/>
          <w:smallCaps w:val="false"/>
          <w:sz w:val="20"/>
        </w:rPr>
        <w:t>(Registrant’s telephone number, including area code)</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registered pursuant to Section 12(b) of the Act:</w:t>
      </w:r>
    </w:p>
    <w:tbl>
      <w:tblPr>
        <w:tblW w:w="10895" w:type="dxa"/>
        <w:jc w:val="left"/>
        <w:tblInd w:w="0" w:type="dxa"/>
        <w:tblLayout w:type="fixed"/>
        <w:tblCellMar>
          <w:top w:w="0" w:type="dxa"/>
          <w:left w:w="0" w:type="dxa"/>
          <w:bottom w:w="0" w:type="dxa"/>
          <w:right w:w="0" w:type="dxa"/>
        </w:tblCellMar>
      </w:tblPr>
      <w:tblGrid>
        <w:gridCol w:w="4001"/>
        <w:gridCol w:w="146"/>
        <w:gridCol w:w="1861"/>
        <w:gridCol w:w="146"/>
        <w:gridCol w:w="4741"/>
      </w:tblGrid>
      <w:tr>
        <w:tc>
          <w:tcPr>
            <w:tcW w:w="40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Title of each class</w:t>
            </w:r>
          </w:p>
        </w:tc>
        <w:tc>
          <w:tcPr>
            <w:tcW w:w="146" w:type="dxa"/>
            <w:tcBorders/>
            <w:vAlign w:val="bottom"/>
          </w:tcPr>
          <w:p>
            <w:pPr>
              <w:pStyle w:val="TableContents"/>
              <w:bidi w:val="0"/>
              <w:spacing w:before="0" w:after="283"/>
              <w:jc w:val="left"/>
            </w:pPr>
            <w:r>
              <w:t> </w:t>
            </w:r>
          </w:p>
        </w:tc>
        <w:tc>
          <w:tcPr>
            <w:tcW w:w="18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Trading Symbol(s)</w:t>
            </w:r>
          </w:p>
        </w:tc>
        <w:tc>
          <w:tcPr>
            <w:tcW w:w="146" w:type="dxa"/>
            <w:tcBorders/>
            <w:vAlign w:val="bottom"/>
          </w:tcPr>
          <w:p>
            <w:pPr>
              <w:pStyle w:val="TableContents"/>
              <w:bidi w:val="0"/>
              <w:spacing w:before="0" w:after="283"/>
              <w:jc w:val="left"/>
            </w:pPr>
            <w:r>
              <w:t> </w:t>
            </w:r>
          </w:p>
        </w:tc>
        <w:tc>
          <w:tcPr>
            <w:tcW w:w="47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each exchange on which registered</w:t>
            </w:r>
          </w:p>
        </w:tc>
      </w:tr>
      <w:tr>
        <w:tc>
          <w:tcPr>
            <w:tcW w:w="40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$0.01 per share</w:t>
            </w:r>
          </w:p>
        </w:tc>
        <w:tc>
          <w:tcPr>
            <w:tcW w:w="146" w:type="dxa"/>
            <w:tcBorders/>
          </w:tcPr>
          <w:p>
            <w:pPr>
              <w:pStyle w:val="TableContents"/>
              <w:bidi w:val="0"/>
              <w:spacing w:before="0" w:after="283"/>
              <w:jc w:val="left"/>
            </w:pPr>
            <w: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w:t>
            </w:r>
          </w:p>
        </w:tc>
        <w:tc>
          <w:tcPr>
            <w:tcW w:w="146" w:type="dxa"/>
            <w:tcBorders/>
          </w:tcPr>
          <w:p>
            <w:pPr>
              <w:pStyle w:val="TableContents"/>
              <w:bidi w:val="0"/>
              <w:spacing w:before="0" w:after="283"/>
              <w:jc w:val="left"/>
            </w:pPr>
            <w: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r>
        <w:tc>
          <w:tcPr>
            <w:tcW w:w="40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Notes due 2028</w:t>
            </w:r>
          </w:p>
        </w:tc>
        <w:tc>
          <w:tcPr>
            <w:tcW w:w="146" w:type="dxa"/>
            <w:tcBorders/>
          </w:tcPr>
          <w:p>
            <w:pPr>
              <w:pStyle w:val="TableContents"/>
              <w:bidi w:val="0"/>
              <w:spacing w:before="0" w:after="283"/>
              <w:jc w:val="left"/>
            </w:pPr>
            <w: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OXSQG</w:t>
            </w:r>
          </w:p>
        </w:tc>
        <w:tc>
          <w:tcPr>
            <w:tcW w:w="146" w:type="dxa"/>
            <w:tcBorders/>
          </w:tcPr>
          <w:p>
            <w:pPr>
              <w:pStyle w:val="TableContents"/>
              <w:bidi w:val="0"/>
              <w:spacing w:before="0" w:after="283"/>
              <w:jc w:val="left"/>
            </w:pPr>
            <w: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r>
        <w:tc>
          <w:tcPr>
            <w:tcW w:w="4001"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Notes due 2030</w:t>
            </w:r>
          </w:p>
        </w:tc>
        <w:tc>
          <w:tcPr>
            <w:tcW w:w="146" w:type="dxa"/>
            <w:tcBorders/>
          </w:tcPr>
          <w:p>
            <w:pPr>
              <w:pStyle w:val="TableContents"/>
              <w:bidi w:val="0"/>
              <w:spacing w:before="0" w:after="283"/>
              <w:jc w:val="left"/>
            </w:pPr>
            <w:r>
              <w:t> </w:t>
            </w:r>
          </w:p>
        </w:tc>
        <w:tc>
          <w:tcPr>
            <w:tcW w:w="186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OXSQH</w:t>
            </w:r>
          </w:p>
        </w:tc>
        <w:tc>
          <w:tcPr>
            <w:tcW w:w="146" w:type="dxa"/>
            <w:tcBorders/>
          </w:tcPr>
          <w:p>
            <w:pPr>
              <w:pStyle w:val="TableContents"/>
              <w:bidi w:val="0"/>
              <w:spacing w:before="0" w:after="283"/>
              <w:jc w:val="left"/>
            </w:pPr>
            <w:r>
              <w:t> </w:t>
            </w:r>
          </w:p>
        </w:tc>
        <w:tc>
          <w:tcPr>
            <w:tcW w:w="47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Global Select Market LLC</w:t>
            </w:r>
          </w:p>
        </w:tc>
      </w:tr>
    </w:tbl>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12"/>
        </w:rPr>
      </w:pPr>
      <w:r>
        <w:rPr>
          <w:rFonts w:ascii="Times New Roman PS Std;serif" w:hAnsi="Times New Roman PS Std;serif"/>
          <w:b/>
          <w:i w:val="false"/>
          <w:caps w:val="false"/>
          <w:smallCaps w:val="false"/>
          <w:sz w:val="12"/>
        </w:rPr>
        <w:t>_______________________________</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6530" w:type="dxa"/>
        <w:jc w:val="left"/>
        <w:tblInd w:w="0" w:type="dxa"/>
        <w:tblLayout w:type="fixed"/>
        <w:tblCellMar>
          <w:top w:w="0" w:type="dxa"/>
          <w:left w:w="0" w:type="dxa"/>
          <w:bottom w:w="0" w:type="dxa"/>
          <w:right w:w="0" w:type="dxa"/>
        </w:tblCellMar>
      </w:tblPr>
      <w:tblGrid>
        <w:gridCol w:w="161"/>
        <w:gridCol w:w="146"/>
        <w:gridCol w:w="2971"/>
        <w:gridCol w:w="146"/>
        <w:gridCol w:w="3106"/>
      </w:tblGrid>
      <w:tr>
        <w:tc>
          <w:tcPr>
            <w:tcW w:w="161"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pPr>
            <w:r>
              <w:t> </w:t>
            </w:r>
          </w:p>
        </w:tc>
        <w:tc>
          <w:tcPr>
            <w:tcW w:w="29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Large accelerated filer ☐</w:t>
            </w:r>
          </w:p>
        </w:tc>
        <w:tc>
          <w:tcPr>
            <w:tcW w:w="146" w:type="dxa"/>
            <w:tcBorders/>
          </w:tcPr>
          <w:p>
            <w:pPr>
              <w:pStyle w:val="TableContents"/>
              <w:bidi w:val="0"/>
              <w:spacing w:before="0" w:after="283"/>
              <w:jc w:val="left"/>
            </w:pPr>
            <w:r>
              <w:t> </w:t>
            </w:r>
          </w:p>
        </w:tc>
        <w:tc>
          <w:tcPr>
            <w:tcW w:w="31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Accelerated filer ☐</w:t>
            </w:r>
          </w:p>
        </w:tc>
      </w:tr>
      <w:tr>
        <w:tc>
          <w:tcPr>
            <w:tcW w:w="16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29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Non-accelerated filer ☒</w:t>
            </w:r>
          </w:p>
        </w:tc>
        <w:tc>
          <w:tcPr>
            <w:tcW w:w="146" w:type="dxa"/>
            <w:tcBorders/>
          </w:tcPr>
          <w:p>
            <w:pPr>
              <w:pStyle w:val="TableContents"/>
              <w:bidi w:val="0"/>
              <w:spacing w:before="0" w:after="283"/>
              <w:jc w:val="left"/>
            </w:pPr>
            <w:r>
              <w:t> </w:t>
            </w:r>
          </w:p>
        </w:tc>
        <w:tc>
          <w:tcPr>
            <w:tcW w:w="310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Smaller Reporting company ☐</w:t>
            </w:r>
          </w:p>
        </w:tc>
      </w:tr>
      <w:tr>
        <w:tc>
          <w:tcPr>
            <w:tcW w:w="16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29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Emerging growth company ☐</w:t>
            </w:r>
          </w:p>
        </w:tc>
        <w:tc>
          <w:tcPr>
            <w:tcW w:w="146" w:type="dxa"/>
            <w:tcBorders/>
          </w:tcPr>
          <w:p>
            <w:pPr>
              <w:pStyle w:val="TableContents"/>
              <w:bidi w:val="0"/>
              <w:spacing w:before="0" w:after="283"/>
              <w:jc w:val="left"/>
            </w:pPr>
            <w:r>
              <w:t> </w:t>
            </w:r>
          </w:p>
        </w:tc>
        <w:tc>
          <w:tcPr>
            <w:tcW w:w="3106" w:type="dxa"/>
            <w:tcBorders/>
          </w:tcPr>
          <w:p>
            <w:pPr>
              <w:pStyle w:val="TableContents"/>
              <w:bidi w:val="0"/>
              <w:spacing w:before="0" w:after="283"/>
              <w:jc w:val="left"/>
            </w:pPr>
            <w:r>
              <w:t> </w:t>
            </w:r>
          </w:p>
        </w:tc>
      </w:tr>
    </w:tbl>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by check mark whether the registrant is a shell company (as defined in Rule 12b-2 of the Exchange Act). Yes ☐ No ☒</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Indicate the number of shares outstanding of each of the issuer’s classes of common stock, as of the latest practicable date. The number of shares of the issuer’s common stock, $0.01 par value, outstanding as of November 2, 2026, was 121,267,697.</w:t>
      </w:r>
    </w:p>
    <w:p>
      <w:pPr>
        <w:pStyle w:val="TextBody"/>
        <w:keepNext w:val="false"/>
        <w:pageBreakBefore w:val="false"/>
        <w:widowControl/>
        <w:pBdr/>
        <w:bidi w:val="0"/>
        <w:spacing w:before="0" w:after="283"/>
        <w:ind w:left="0" w:right="0" w:firstLine="48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881"/>
        <w:gridCol w:w="146"/>
        <w:gridCol w:w="8310"/>
        <w:gridCol w:w="146"/>
        <w:gridCol w:w="722"/>
      </w:tblGrid>
      <w:tr>
        <w:tc>
          <w:tcPr>
            <w:tcW w:w="8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c>
          <w:tcPr>
            <w:tcW w:w="9337" w:type="dxa"/>
            <w:gridSpan w:val="3"/>
            <w:tcBorders/>
            <w:shd w:fill="CCEEFF" w:val="clear"/>
            <w:vAlign w:val="bottom"/>
          </w:tcPr>
          <w:p>
            <w:pPr>
              <w:pStyle w:val="TableContents"/>
              <w:keepNext w:val="false"/>
              <w:widowControl/>
              <w:pBdr/>
              <w:bidi w:val="0"/>
              <w:spacing w:before="0" w:after="283"/>
              <w:ind w:left="200" w:right="0" w:hanging="200"/>
              <w:jc w:val="left"/>
            </w:pPr>
            <w:hyperlink w:anchor="T99501">
              <w:r>
                <w:rPr>
                  <w:rStyle w:val="InternetLink"/>
                  <w:rFonts w:ascii="Times New Roman PS Std;serif" w:hAnsi="Times New Roman PS Std;serif"/>
                  <w:b w:val="false"/>
                  <w:i w:val="false"/>
                  <w:caps w:val="false"/>
                  <w:smallCaps w:val="false"/>
                  <w:sz w:val="20"/>
                </w:rPr>
                <w:t xml:space="preserve">PART I. FINANCIAL INFORMATION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02">
              <w:r>
                <w:rPr>
                  <w:rStyle w:val="InternetLink"/>
                  <w:rFonts w:ascii="Times New Roman PS Std;serif" w:hAnsi="Times New Roman PS Std;serif"/>
                  <w:b w:val="false"/>
                  <w:i w:val="false"/>
                  <w:caps w:val="false"/>
                  <w:smallCaps w:val="false"/>
                  <w:sz w:val="20"/>
                </w:rPr>
                <w:t xml:space="preserve">Financial Statements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c>
          <w:tcPr>
            <w:tcW w:w="88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03">
              <w:r>
                <w:rPr>
                  <w:rStyle w:val="InternetLink"/>
                  <w:rFonts w:ascii="Times New Roman PS Std;serif" w:hAnsi="Times New Roman PS Std;serif"/>
                  <w:b w:val="false"/>
                  <w:i w:val="false"/>
                  <w:caps w:val="false"/>
                  <w:smallCaps w:val="false"/>
                  <w:sz w:val="20"/>
                </w:rPr>
                <w:t>Statements of Assets and Liabilities as of September 30, 2026 (Unaudited) and December 31, 2025</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c>
          <w:tcPr>
            <w:tcW w:w="88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04">
              <w:r>
                <w:rPr>
                  <w:rStyle w:val="InternetLink"/>
                  <w:rFonts w:ascii="Times New Roman PS Std;serif" w:hAnsi="Times New Roman PS Std;serif"/>
                  <w:b w:val="false"/>
                  <w:i w:val="false"/>
                  <w:caps w:val="false"/>
                  <w:smallCaps w:val="false"/>
                  <w:sz w:val="20"/>
                </w:rPr>
                <w:t xml:space="preserve">Schedule of Investments as of September 30, 2026 (Unaudited)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c>
          <w:tcPr>
            <w:tcW w:w="88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05">
              <w:r>
                <w:rPr>
                  <w:rStyle w:val="InternetLink"/>
                  <w:rFonts w:ascii="Times New Roman PS Std;serif" w:hAnsi="Times New Roman PS Std;serif"/>
                  <w:b w:val="false"/>
                  <w:i w:val="false"/>
                  <w:caps w:val="false"/>
                  <w:smallCaps w:val="false"/>
                  <w:sz w:val="20"/>
                </w:rPr>
                <w:t xml:space="preserve">Schedule of Investments as of December 31, 2025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c>
          <w:tcPr>
            <w:tcW w:w="88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06">
              <w:r>
                <w:rPr>
                  <w:rStyle w:val="InternetLink"/>
                  <w:rFonts w:ascii="Times New Roman PS Std;serif" w:hAnsi="Times New Roman PS Std;serif"/>
                  <w:b w:val="false"/>
                  <w:i w:val="false"/>
                  <w:caps w:val="false"/>
                  <w:smallCaps w:val="false"/>
                  <w:sz w:val="20"/>
                </w:rPr>
                <w:t>Statements of Operations for the three and nine months ended September 30, 2026 and 2025 (Unaudited)</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r>
      <w:tr>
        <w:tc>
          <w:tcPr>
            <w:tcW w:w="88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07">
              <w:r>
                <w:rPr>
                  <w:rStyle w:val="InternetLink"/>
                  <w:rFonts w:ascii="Times New Roman PS Std;serif" w:hAnsi="Times New Roman PS Std;serif"/>
                  <w:b w:val="false"/>
                  <w:i w:val="false"/>
                  <w:caps w:val="false"/>
                  <w:smallCaps w:val="false"/>
                  <w:sz w:val="20"/>
                </w:rPr>
                <w:t>Statements of Changes in Net Assets for the three and nine months ended September 30, 2026 and 2025 (Unaudited)</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c>
          <w:tcPr>
            <w:tcW w:w="88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08">
              <w:r>
                <w:rPr>
                  <w:rStyle w:val="InternetLink"/>
                  <w:rFonts w:ascii="Times New Roman PS Std;serif" w:hAnsi="Times New Roman PS Std;serif"/>
                  <w:b w:val="false"/>
                  <w:i w:val="false"/>
                  <w:caps w:val="false"/>
                  <w:smallCaps w:val="false"/>
                  <w:sz w:val="20"/>
                </w:rPr>
                <w:t xml:space="preserve">Statements of Cash Flows for the nine months ended September 30, 2026 and 2025 (Unaudited)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c>
          <w:tcPr>
            <w:tcW w:w="88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09">
              <w:r>
                <w:rPr>
                  <w:rStyle w:val="InternetLink"/>
                  <w:rFonts w:ascii="Times New Roman PS Std;serif" w:hAnsi="Times New Roman PS Std;serif"/>
                  <w:b w:val="false"/>
                  <w:i w:val="false"/>
                  <w:caps w:val="false"/>
                  <w:smallCaps w:val="false"/>
                  <w:sz w:val="20"/>
                </w:rPr>
                <w:t xml:space="preserve">Notes to Financial Statements (Unaudited)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10">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11">
              <w:r>
                <w:rPr>
                  <w:rStyle w:val="InternetLink"/>
                  <w:rFonts w:ascii="Times New Roman PS Std;serif" w:hAnsi="Times New Roman PS Std;serif"/>
                  <w:b w:val="false"/>
                  <w:i w:val="false"/>
                  <w:caps w:val="false"/>
                  <w:smallCaps w:val="false"/>
                  <w:sz w:val="20"/>
                </w:rPr>
                <w:t xml:space="preserve">Quantitative and Qualitative Disclosures About Market Risk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12">
              <w:r>
                <w:rPr>
                  <w:rStyle w:val="InternetLink"/>
                  <w:rFonts w:ascii="Times New Roman PS Std;serif" w:hAnsi="Times New Roman PS Std;serif"/>
                  <w:b w:val="false"/>
                  <w:i w:val="false"/>
                  <w:caps w:val="false"/>
                  <w:smallCaps w:val="false"/>
                  <w:sz w:val="20"/>
                </w:rPr>
                <w:t xml:space="preserve">Controls and Procedures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r>
      <w:tr>
        <w:tc>
          <w:tcPr>
            <w:tcW w:w="88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bidi w:val="0"/>
              <w:spacing w:before="0" w:after="283"/>
              <w:jc w:val="left"/>
            </w:pPr>
            <w:r>
              <w:t> </w:t>
            </w:r>
          </w:p>
        </w:tc>
      </w:tr>
      <w:tr>
        <w:tc>
          <w:tcPr>
            <w:tcW w:w="9337" w:type="dxa"/>
            <w:gridSpan w:val="3"/>
            <w:tcBorders/>
            <w:vAlign w:val="bottom"/>
          </w:tcPr>
          <w:p>
            <w:pPr>
              <w:pStyle w:val="TableContents"/>
              <w:keepNext w:val="false"/>
              <w:widowControl/>
              <w:pBdr/>
              <w:bidi w:val="0"/>
              <w:spacing w:before="0" w:after="283"/>
              <w:ind w:left="200" w:right="0" w:hanging="200"/>
              <w:jc w:val="left"/>
            </w:pPr>
            <w:hyperlink w:anchor="T99513">
              <w:r>
                <w:rPr>
                  <w:rStyle w:val="InternetLink"/>
                  <w:rFonts w:ascii="Times New Roman PS Std;serif" w:hAnsi="Times New Roman PS Std;serif"/>
                  <w:b w:val="false"/>
                  <w:i w:val="false"/>
                  <w:caps w:val="false"/>
                  <w:smallCaps w:val="false"/>
                  <w:sz w:val="20"/>
                </w:rPr>
                <w:t xml:space="preserve">PART II. OTHER INFORMATION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14">
              <w:r>
                <w:rPr>
                  <w:rStyle w:val="InternetLink"/>
                  <w:rFonts w:ascii="Times New Roman PS Std;serif" w:hAnsi="Times New Roman PS Std;serif"/>
                  <w:b w:val="false"/>
                  <w:i w:val="false"/>
                  <w:caps w:val="false"/>
                  <w:smallCaps w:val="false"/>
                  <w:sz w:val="20"/>
                </w:rPr>
                <w:t xml:space="preserve">Legal Proceedings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1A.</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15">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2.</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16">
              <w:r>
                <w:rPr>
                  <w:rStyle w:val="InternetLink"/>
                  <w:rFonts w:ascii="Times New Roman PS Std;serif" w:hAnsi="Times New Roman PS Std;serif"/>
                  <w:b w:val="false"/>
                  <w:i w:val="false"/>
                  <w:caps w:val="false"/>
                  <w:smallCaps w:val="false"/>
                  <w:sz w:val="20"/>
                </w:rPr>
                <w:t xml:space="preserve">Unregistered Sales of Equity Securities and Use of Proceeds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3.</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17">
              <w:r>
                <w:rPr>
                  <w:rStyle w:val="InternetLink"/>
                  <w:rFonts w:ascii="Times New Roman PS Std;serif" w:hAnsi="Times New Roman PS Std;serif"/>
                  <w:b w:val="false"/>
                  <w:i w:val="false"/>
                  <w:caps w:val="false"/>
                  <w:smallCaps w:val="false"/>
                  <w:sz w:val="20"/>
                </w:rPr>
                <w:t xml:space="preserve">Defaults Upon Senior Securities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4.</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18">
              <w:r>
                <w:rPr>
                  <w:rStyle w:val="InternetLink"/>
                  <w:rFonts w:ascii="Times New Roman PS Std;serif" w:hAnsi="Times New Roman PS Std;serif"/>
                  <w:b w:val="false"/>
                  <w:i w:val="false"/>
                  <w:caps w:val="false"/>
                  <w:smallCaps w:val="false"/>
                  <w:sz w:val="20"/>
                </w:rPr>
                <w:t xml:space="preserve">Mine Safety Disclosures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5.</w:t>
            </w:r>
          </w:p>
        </w:tc>
        <w:tc>
          <w:tcPr>
            <w:tcW w:w="146" w:type="dxa"/>
            <w:tcBorders/>
            <w:vAlign w:val="bottom"/>
          </w:tcPr>
          <w:p>
            <w:pPr>
              <w:pStyle w:val="TableContents"/>
              <w:bidi w:val="0"/>
              <w:spacing w:before="0" w:after="283"/>
              <w:jc w:val="left"/>
            </w:pPr>
            <w:r>
              <w:t> </w:t>
            </w:r>
          </w:p>
        </w:tc>
        <w:tc>
          <w:tcPr>
            <w:tcW w:w="8310" w:type="dxa"/>
            <w:tcBorders/>
            <w:vAlign w:val="bottom"/>
          </w:tcPr>
          <w:p>
            <w:pPr>
              <w:pStyle w:val="TableContents"/>
              <w:keepNext w:val="false"/>
              <w:widowControl/>
              <w:pBdr/>
              <w:bidi w:val="0"/>
              <w:spacing w:before="0" w:after="283"/>
              <w:ind w:left="200" w:right="0" w:hanging="200"/>
              <w:jc w:val="left"/>
            </w:pPr>
            <w:hyperlink w:anchor="T99519">
              <w:r>
                <w:rPr>
                  <w:rStyle w:val="InternetLink"/>
                  <w:rFonts w:ascii="Times New Roman PS Std;serif" w:hAnsi="Times New Roman PS Std;serif"/>
                  <w:b w:val="false"/>
                  <w:i w:val="false"/>
                  <w:caps w:val="false"/>
                  <w:smallCaps w:val="false"/>
                  <w:sz w:val="20"/>
                </w:rPr>
                <w:t xml:space="preserve">Other Information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c>
          <w:tcPr>
            <w:tcW w:w="8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Item 6.</w:t>
            </w:r>
          </w:p>
        </w:tc>
        <w:tc>
          <w:tcPr>
            <w:tcW w:w="146" w:type="dxa"/>
            <w:tcBorders/>
            <w:shd w:fill="CCEEFF" w:val="clear"/>
            <w:vAlign w:val="bottom"/>
          </w:tcPr>
          <w:p>
            <w:pPr>
              <w:pStyle w:val="TableContents"/>
              <w:bidi w:val="0"/>
              <w:spacing w:before="0" w:after="283"/>
              <w:jc w:val="left"/>
            </w:pPr>
            <w:r>
              <w:t> </w:t>
            </w:r>
          </w:p>
        </w:tc>
        <w:tc>
          <w:tcPr>
            <w:tcW w:w="8310" w:type="dxa"/>
            <w:tcBorders/>
            <w:shd w:fill="CCEEFF" w:val="clear"/>
            <w:vAlign w:val="bottom"/>
          </w:tcPr>
          <w:p>
            <w:pPr>
              <w:pStyle w:val="TableContents"/>
              <w:keepNext w:val="false"/>
              <w:widowControl/>
              <w:pBdr/>
              <w:bidi w:val="0"/>
              <w:spacing w:before="0" w:after="283"/>
              <w:ind w:left="200" w:right="0" w:hanging="200"/>
              <w:jc w:val="left"/>
            </w:pPr>
            <w:hyperlink w:anchor="T99520">
              <w:r>
                <w:rPr>
                  <w:rStyle w:val="InternetLink"/>
                  <w:rFonts w:ascii="Times New Roman PS Std;serif" w:hAnsi="Times New Roman PS Std;serif"/>
                  <w:b w:val="false"/>
                  <w:i w:val="false"/>
                  <w:caps w:val="false"/>
                  <w:smallCaps w:val="false"/>
                  <w:sz w:val="20"/>
                </w:rPr>
                <w:t xml:space="preserve">Exhibits </w:t>
              </w:r>
            </w:hyperlink>
          </w:p>
        </w:tc>
        <w:tc>
          <w:tcPr>
            <w:tcW w:w="146" w:type="dxa"/>
            <w:tcBorders/>
            <w:shd w:fill="CCEEFF" w:val="clear"/>
            <w:vAlign w:val="bottom"/>
          </w:tcPr>
          <w:p>
            <w:pPr>
              <w:pStyle w:val="TableContents"/>
              <w:bidi w:val="0"/>
              <w:spacing w:before="0" w:after="283"/>
              <w:jc w:val="left"/>
            </w:pPr>
            <w:r>
              <w:t> </w:t>
            </w:r>
          </w:p>
        </w:tc>
        <w:tc>
          <w:tcPr>
            <w:tcW w:w="722"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c>
          <w:tcPr>
            <w:tcW w:w="9337" w:type="dxa"/>
            <w:gridSpan w:val="3"/>
            <w:tcBorders/>
            <w:vAlign w:val="bottom"/>
          </w:tcPr>
          <w:p>
            <w:pPr>
              <w:pStyle w:val="TableContents"/>
              <w:keepNext w:val="false"/>
              <w:widowControl/>
              <w:pBdr/>
              <w:bidi w:val="0"/>
              <w:spacing w:before="0" w:after="283"/>
              <w:ind w:left="200" w:right="0" w:hanging="200"/>
              <w:jc w:val="left"/>
            </w:pPr>
            <w:hyperlink w:anchor="T99521">
              <w:r>
                <w:rPr>
                  <w:rStyle w:val="InternetLink"/>
                  <w:rFonts w:ascii="Times New Roman PS Std;serif" w:hAnsi="Times New Roman PS Std;serif"/>
                  <w:b w:val="false"/>
                  <w:i w:val="false"/>
                  <w:caps w:val="false"/>
                  <w:smallCaps w:val="false"/>
                  <w:sz w:val="20"/>
                </w:rPr>
                <w:t xml:space="preserve">SIGNATURES </w:t>
              </w:r>
            </w:hyperlink>
          </w:p>
        </w:tc>
        <w:tc>
          <w:tcPr>
            <w:tcW w:w="146" w:type="dxa"/>
            <w:tcBorders/>
            <w:vAlign w:val="bottom"/>
          </w:tcPr>
          <w:p>
            <w:pPr>
              <w:pStyle w:val="TableContents"/>
              <w:bidi w:val="0"/>
              <w:spacing w:before="0" w:after="283"/>
              <w:jc w:val="left"/>
            </w:pPr>
            <w:r>
              <w:t> </w:t>
            </w:r>
          </w:p>
        </w:tc>
        <w:tc>
          <w:tcPr>
            <w:tcW w:w="722"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 w:name="T99501"/>
      <w:bookmarkEnd w:id="1"/>
      <w:r>
        <w:rPr>
          <w:rFonts w:ascii="Times New Roman PS Std;serif" w:hAnsi="Times New Roman PS Std;serif"/>
          <w:b/>
          <w:i w:val="false"/>
          <w:caps w:val="false"/>
          <w:smallCaps w:val="false"/>
          <w:sz w:val="20"/>
        </w:rPr>
        <w:t xml:space="preserve">PART I — FINANCIAL INFORMATION </w:t>
      </w: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2" w:name="T99502"/>
      <w:bookmarkEnd w:id="2"/>
      <w:r>
        <w:rPr>
          <w:rFonts w:ascii="Times New Roman PS Std;serif" w:hAnsi="Times New Roman PS Std;serif"/>
          <w:b/>
          <w:i w:val="false"/>
          <w:caps w:val="false"/>
          <w:smallCaps w:val="false"/>
          <w:sz w:val="20"/>
        </w:rPr>
        <w:t xml:space="preserve">ITEM 1.    FINANCIAL STATEMENTS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bookmarkStart w:id="3" w:name="T99503"/>
      <w:bookmarkEnd w:id="3"/>
      <w:r>
        <w:rPr>
          <w:rFonts w:ascii="Times New Roman PS Std;serif" w:hAnsi="Times New Roman PS Std;serif"/>
          <w:b/>
          <w:i w:val="false"/>
          <w:caps w:val="false"/>
          <w:smallCaps w:val="false"/>
          <w:sz w:val="20"/>
        </w:rPr>
        <w:t xml:space="preserve">STATEMENTS OF ASSETS AND LIABILITIES </w:t>
      </w:r>
    </w:p>
    <w:tbl>
      <w:tblPr>
        <w:tblW w:w="10205" w:type="dxa"/>
        <w:jc w:val="left"/>
        <w:tblInd w:w="0" w:type="dxa"/>
        <w:tblLayout w:type="fixed"/>
        <w:tblCellMar>
          <w:top w:w="0" w:type="dxa"/>
          <w:left w:w="0" w:type="dxa"/>
          <w:bottom w:w="0" w:type="dxa"/>
          <w:right w:w="0" w:type="dxa"/>
        </w:tblCellMar>
      </w:tblPr>
      <w:tblGrid>
        <w:gridCol w:w="6122"/>
        <w:gridCol w:w="146"/>
        <w:gridCol w:w="286"/>
        <w:gridCol w:w="1381"/>
        <w:gridCol w:w="206"/>
        <w:gridCol w:w="146"/>
        <w:gridCol w:w="286"/>
        <w:gridCol w:w="1381"/>
        <w:gridCol w:w="251"/>
      </w:tblGrid>
      <w:tr>
        <w:tc>
          <w:tcPr>
            <w:tcW w:w="61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8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2026</w:t>
            </w:r>
          </w:p>
        </w:tc>
        <w:tc>
          <w:tcPr>
            <w:tcW w:w="146" w:type="dxa"/>
            <w:tcBorders/>
            <w:vAlign w:val="bottom"/>
          </w:tcPr>
          <w:p>
            <w:pPr>
              <w:pStyle w:val="TableContents"/>
              <w:bidi w:val="0"/>
              <w:spacing w:before="0" w:after="283"/>
              <w:jc w:val="left"/>
            </w:pPr>
            <w:r>
              <w:t> </w:t>
            </w:r>
          </w:p>
        </w:tc>
        <w:tc>
          <w:tcPr>
            <w:tcW w:w="19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c>
          <w:tcPr>
            <w:tcW w:w="612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8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pPr>
            <w:r>
              <w:t> </w:t>
            </w:r>
          </w:p>
        </w:tc>
        <w:tc>
          <w:tcPr>
            <w:tcW w:w="1918" w:type="dxa"/>
            <w:gridSpan w:val="3"/>
            <w:tcBorders/>
            <w:vAlign w:val="bottom"/>
          </w:tcPr>
          <w:p>
            <w:pPr>
              <w:pStyle w:val="TableContents"/>
              <w:bidi w:val="0"/>
              <w:spacing w:before="0" w:after="283"/>
              <w:jc w:val="left"/>
            </w:pPr>
            <w:r>
              <w:t> </w:t>
            </w:r>
          </w:p>
        </w:tc>
      </w:tr>
      <w:t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pPr>
            <w: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Non-affiliated/non-control investments (cost: $380,691,717 and $390,403,599, respectively)</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255,081,298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251,731,345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Controlled affiliate investment (cost: $5,000,000 and $0, respectively)</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5,000,000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right"/>
            </w:pPr>
            <w:r>
              <w:t>—</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 (cost: $42,822,297 and $51,236,068)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42,822,297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51,236,068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689,210</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698,579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and distributions receivable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2,327,310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2,002,161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assets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1,157,126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1,070,958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307,077,241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306,739,111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pPr>
            <w: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283"/>
              <w:jc w:val="left"/>
            </w:pPr>
            <w: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5.50% Unsecured Notes, net of deferred issuance costs of $707,710 and $996,075, respectively</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79,792,290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79,503,925</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payable – 7.75% Unsecured Notes, net of deferred issuance costs of $2,193,859 and $2,621,662, respectively</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72,556,141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72,128,338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5,834,523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5,944,969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interest payable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1,703,438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1,703,438</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 and Net Investment Income Incentive Fee payable to affiliate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1,029,470</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1,036,058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782,346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1,017,581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161,698,208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161,334,309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COMMITMENTS AND CONTINGENCIES (Note 13)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0"/>
              <w:jc w:val="left"/>
            </w:pPr>
            <w: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shd w:fill="CCEEFF" w:val="clear"/>
            <w:vAlign w:val="bottom"/>
          </w:tcPr>
          <w:p>
            <w:pPr>
              <w:pStyle w:val="TableContents"/>
              <w:bidi w:val="0"/>
              <w:spacing w:before="0" w:after="0"/>
              <w:jc w:val="left"/>
            </w:pPr>
            <w: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ASSETS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pPr>
            <w: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1" w:type="dxa"/>
            <w:tcBorders/>
            <w:vAlign w:val="bottom"/>
          </w:tcPr>
          <w:p>
            <w:pPr>
              <w:pStyle w:val="TableContents"/>
              <w:bidi w:val="0"/>
              <w:spacing w:before="0" w:after="283"/>
              <w:jc w:val="left"/>
            </w:pPr>
            <w:r>
              <w:t> </w:t>
            </w:r>
          </w:p>
        </w:tc>
        <w:tc>
          <w:tcPr>
            <w:tcW w:w="2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$0.01 par value, 300,000,000 shares authorized; 120,048,538 and 86,060,964 shares issued and outstanding, respectively</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1,200,485</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860,610</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in excess of par value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574,172,265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523,040,484</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distributable earnings/(accumulated losses)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(429,993,717</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8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(378,496,292</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assets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145,379,033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145,404,802</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 and net assets</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307,077,241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306,739,111</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per common share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504"/>
      <w:bookmarkEnd w:id="4"/>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w:t>
        <w:br/>
        <w:t>September 30, 2026</w:t>
      </w:r>
    </w:p>
    <w:tbl>
      <w:tblPr>
        <w:tblW w:w="10205" w:type="dxa"/>
        <w:jc w:val="left"/>
        <w:tblInd w:w="0" w:type="dxa"/>
        <w:tblLayout w:type="fixed"/>
        <w:tblCellMar>
          <w:top w:w="0" w:type="dxa"/>
          <w:left w:w="0" w:type="dxa"/>
          <w:bottom w:w="0" w:type="dxa"/>
          <w:right w:w="0" w:type="dxa"/>
        </w:tblCellMar>
      </w:tblPr>
      <w:tblGrid>
        <w:gridCol w:w="2377"/>
        <w:gridCol w:w="146"/>
        <w:gridCol w:w="1415"/>
        <w:gridCol w:w="146"/>
        <w:gridCol w:w="286"/>
        <w:gridCol w:w="1246"/>
        <w:gridCol w:w="146"/>
        <w:gridCol w:w="286"/>
        <w:gridCol w:w="1276"/>
        <w:gridCol w:w="146"/>
        <w:gridCol w:w="286"/>
        <w:gridCol w:w="1276"/>
        <w:gridCol w:w="146"/>
        <w:gridCol w:w="620"/>
        <w:gridCol w:w="407"/>
      </w:tblGrid>
      <w:tr>
        <w:tc>
          <w:tcPr>
            <w:tcW w:w="23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2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37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Senior Secured Notes</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Aerospace and Defense</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Vantor, Inc.</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8.32% (SOFR + 4.25%), (0.00% floor) due March 3, 2033</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27,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9,975,000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9,831,688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9,999,938</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Aerospace and Defense</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9,831,688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9,999,938</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6.9</w:t>
            </w:r>
          </w:p>
        </w:tc>
        <w:tc>
          <w:tcPr>
            <w:tcW w:w="40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7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Services</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Access CIG, LLC</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7.82% (SOFR + 4.00%), (0.50% floor) due August 19, 2030</w:t>
            </w:r>
            <w:r>
              <w:rPr>
                <w:rFonts w:ascii="Times New Roman PS Std;serif" w:hAnsi="Times New Roman PS Std;serif"/>
                <w:b w:val="false"/>
                <w:i w:val="false"/>
                <w:caps w:val="false"/>
                <w:smallCaps w:val="false"/>
                <w:sz w:val="12"/>
              </w:rPr>
              <w:t>(4)(6)(14)(16)</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9,945,497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9,945,497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9,137,425</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Convergint Technologies, LLC</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6.90% (SOFR+ 3.00%), (0.00% floor) due July 9, 2032</w:t>
            </w:r>
            <w:r>
              <w:rPr>
                <w:rFonts w:ascii="Times New Roman PS Std;serif" w:hAnsi="Times New Roman PS Std;serif"/>
                <w:b w:val="false"/>
                <w:i w:val="false"/>
                <w:caps w:val="false"/>
                <w:smallCaps w:val="false"/>
                <w:sz w:val="12"/>
              </w:rPr>
              <w:t>(4)(6)(14)(23)</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31,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9,974,874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9,974,874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9,974,874</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Verifone, Inc. </w:t>
              <w:br/>
              <w:t>(f/k/a Verifone Systems, Inc.)</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9.58% (SOFR + 5.50%), (0.00% floor) due August 18,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28,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13,063,718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12,346,321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12,671,806</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Business Services</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32,266,692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31,784,105</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21.9</w:t>
            </w:r>
          </w:p>
        </w:tc>
        <w:tc>
          <w:tcPr>
            <w:tcW w:w="40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7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Food and Beverage</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Shearer’s Foods, LLC</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6.65% (SOFR + 2.75%), (0.00% floor) due February 12, 2031</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9,776,435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9,797,100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9,644,062</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Food and Beverage</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9,797,100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9,644,062</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6.6</w:t>
            </w:r>
          </w:p>
        </w:tc>
        <w:tc>
          <w:tcPr>
            <w:tcW w:w="40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7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HealthChannels, Inc. </w:t>
              <w:br/>
              <w:t>(f/k/a ScribeAmerica, LLC)</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5.49% (SOFR + 1.50%, 1.00% floor) cash, 4.00% PIK due June 2, 2031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(3)(4)(5)(6)(16)</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2,469,524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2,353,628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2,302,831</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Performance Health Inc.</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7.82% (SOFR + 3.75%), (0.00% floor) due March 19, 2032</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24,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9,887,375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9,853,710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9,739,064</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Viant Medical Holdings, Inc.</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bidi w:val="0"/>
              <w:spacing w:before="0" w:after="283"/>
              <w:jc w:val="left"/>
            </w:pPr>
            <w:r>
              <w:t> </w:t>
            </w:r>
          </w:p>
        </w:tc>
        <w:tc>
          <w:tcPr>
            <w:tcW w:w="4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7.90% (SOFR + 4.00%), (0.00% floor) due October 29, 2031</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pPr>
            <w:r>
              <w:t> </w:t>
            </w:r>
          </w:p>
        </w:tc>
        <w:tc>
          <w:tcPr>
            <w:tcW w:w="1415"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16,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8,255,098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8,192,369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8,089,996</w:t>
            </w:r>
          </w:p>
        </w:tc>
        <w:tc>
          <w:tcPr>
            <w:tcW w:w="146" w:type="dxa"/>
            <w:tcBorders/>
            <w:vAlign w:val="bottom"/>
          </w:tcPr>
          <w:p>
            <w:pPr>
              <w:pStyle w:val="TableContents"/>
              <w:bidi w:val="0"/>
              <w:spacing w:before="0" w:after="283"/>
              <w:jc w:val="left"/>
            </w:pPr>
            <w:r>
              <w:t> </w:t>
            </w:r>
          </w:p>
        </w:tc>
        <w:tc>
          <w:tcPr>
            <w:tcW w:w="620" w:type="dxa"/>
            <w:tcBorders/>
            <w:vAlign w:val="bottom"/>
          </w:tcPr>
          <w:p>
            <w:pPr>
              <w:pStyle w:val="TableContents"/>
              <w:bidi w:val="0"/>
              <w:spacing w:before="0" w:after="283"/>
              <w:jc w:val="left"/>
            </w:pPr>
            <w:r>
              <w:t> </w:t>
            </w:r>
          </w:p>
        </w:tc>
        <w:tc>
          <w:tcPr>
            <w:tcW w:w="4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77"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pPr>
            <w:r>
              <w:t> </w:t>
            </w:r>
          </w:p>
        </w:tc>
        <w:tc>
          <w:tcPr>
            <w:tcW w:w="141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20,399,707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20,131,891</w:t>
            </w:r>
          </w:p>
        </w:tc>
        <w:tc>
          <w:tcPr>
            <w:tcW w:w="146" w:type="dxa"/>
            <w:tcBorders/>
            <w:shd w:fill="CCEEFF" w:val="clear"/>
            <w:vAlign w:val="bottom"/>
          </w:tcPr>
          <w:p>
            <w:pPr>
              <w:pStyle w:val="TableContents"/>
              <w:bidi w:val="0"/>
              <w:spacing w:before="0" w:after="283"/>
              <w:jc w:val="left"/>
            </w:pPr>
            <w:r>
              <w:t> </w:t>
            </w:r>
          </w:p>
        </w:tc>
        <w:tc>
          <w:tcPr>
            <w:tcW w:w="6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13.8</w:t>
            </w:r>
          </w:p>
        </w:tc>
        <w:tc>
          <w:tcPr>
            <w:tcW w:w="40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tbl>
      <w:tblPr>
        <w:tblW w:w="10205" w:type="dxa"/>
        <w:jc w:val="left"/>
        <w:tblInd w:w="0" w:type="dxa"/>
        <w:tblLayout w:type="fixed"/>
        <w:tblCellMar>
          <w:top w:w="0" w:type="dxa"/>
          <w:left w:w="0" w:type="dxa"/>
          <w:bottom w:w="0" w:type="dxa"/>
          <w:right w:w="0" w:type="dxa"/>
        </w:tblCellMar>
      </w:tblPr>
      <w:tblGrid>
        <w:gridCol w:w="2362"/>
        <w:gridCol w:w="146"/>
        <w:gridCol w:w="1433"/>
        <w:gridCol w:w="146"/>
        <w:gridCol w:w="286"/>
        <w:gridCol w:w="1246"/>
        <w:gridCol w:w="146"/>
        <w:gridCol w:w="286"/>
        <w:gridCol w:w="1276"/>
        <w:gridCol w:w="146"/>
        <w:gridCol w:w="286"/>
        <w:gridCol w:w="1276"/>
        <w:gridCol w:w="146"/>
        <w:gridCol w:w="619"/>
        <w:gridCol w:w="405"/>
      </w:tblGrid>
      <w:tr>
        <w:tc>
          <w:tcPr>
            <w:tcW w:w="23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36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Highline Warren, LLC </w:t>
              <w:br/>
              <w:t>(f/k/a Highline Aftermarket, LLC)</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7.23% (SOFR + 3.50%), (0.75% floor) due February 19, 2030</w:t>
            </w:r>
            <w:r>
              <w:rPr>
                <w:rFonts w:ascii="Times New Roman PS Std;serif" w:hAnsi="Times New Roman PS Std;serif"/>
                <w:b w:val="false"/>
                <w:i w:val="false"/>
                <w:caps w:val="false"/>
                <w:smallCaps w:val="false"/>
                <w:sz w:val="12"/>
              </w:rPr>
              <w:t>(4)(5)(6)(16)</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6,887,424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6,887,269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6,904,643</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Michael Baker International, Inc.</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7.82% (SOFR + 4.00%), (0.75% floor) due December 1,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9,775,875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9,809,110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9,763,655</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ProMach Inc.</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6.40% (SOFR + 2.50%), (0.00% floor) due October 15, 2032</w:t>
            </w:r>
            <w:r>
              <w:rPr>
                <w:rFonts w:ascii="Times New Roman PS Std;serif" w:hAnsi="Times New Roman PS Std;serif"/>
                <w:b w:val="false"/>
                <w:i w:val="false"/>
                <w:caps w:val="false"/>
                <w:smallCaps w:val="false"/>
                <w:sz w:val="12"/>
              </w:rPr>
              <w:t>(4)(5)(6)(23)</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9,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5,955,075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5,948,774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5,962,519</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Industrials</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22,645,153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22,630,817</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15.6</w:t>
            </w:r>
          </w:p>
        </w:tc>
        <w:tc>
          <w:tcPr>
            <w:tcW w:w="40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Materials</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Veritiv Operating Company</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8.07% (SOFR + 4.00%), (0.00% floor) due November 30, 2030</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6,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9,854,409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9,844,309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9,775,574</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Materials</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9,844,309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9,775,574</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6.7</w:t>
            </w:r>
          </w:p>
        </w:tc>
        <w:tc>
          <w:tcPr>
            <w:tcW w:w="40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Dodge Construction Network LLC </w:t>
              <w:br/>
              <w:t>(f/k/a Dodge Data &amp; Analytics, LLC)</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10.12% (SOFR + 6.25%), (0.50% floor) due January 31, 2029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2,038,826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2,021,005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2,049,020</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8.62% (SOFR + 4.75%), (0.50% floor) due February 28,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2,994,364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2,613,499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2,545,209</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12.47% (SOFR + 8.25%) PIK, (0.50% floor) due March 31, 2029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18,624,842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11,826,756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9,312,421</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Fortra, LLC </w:t>
              <w:br/>
              <w:t>(f/k/a Help/Systems Holdings, Inc.)</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9.86% (SOFR + 6.00%), (2.00% floor) due May 21, 2029</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43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3,219,018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3,088,445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2,414,264</w:t>
            </w:r>
          </w:p>
        </w:tc>
        <w:tc>
          <w:tcPr>
            <w:tcW w:w="146" w:type="dxa"/>
            <w:tcBorders/>
            <w:vAlign w:val="bottom"/>
          </w:tcPr>
          <w:p>
            <w:pPr>
              <w:pStyle w:val="TableContents"/>
              <w:bidi w:val="0"/>
              <w:spacing w:before="0" w:after="283"/>
              <w:jc w:val="left"/>
            </w:pPr>
            <w:r>
              <w:t> </w:t>
            </w:r>
          </w:p>
        </w:tc>
        <w:tc>
          <w:tcPr>
            <w:tcW w:w="619" w:type="dxa"/>
            <w:tcBorders/>
            <w:vAlign w:val="bottom"/>
          </w:tcPr>
          <w:p>
            <w:pPr>
              <w:pStyle w:val="TableContents"/>
              <w:bidi w:val="0"/>
              <w:spacing w:before="0" w:after="283"/>
              <w:jc w:val="left"/>
            </w:pPr>
            <w:r>
              <w:t> </w:t>
            </w:r>
          </w:p>
        </w:tc>
        <w:tc>
          <w:tcPr>
            <w:tcW w:w="405"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3.86% (SOFR, 2.00% floor) cash, 9.00% PIK due May 21, 2029</w:t>
            </w:r>
            <w:r>
              <w:rPr>
                <w:rFonts w:ascii="Times New Roman PS Std;serif" w:hAnsi="Times New Roman PS Std;serif"/>
                <w:b w:val="false"/>
                <w:i w:val="false"/>
                <w:caps w:val="false"/>
                <w:smallCaps w:val="false"/>
                <w:sz w:val="12"/>
              </w:rPr>
              <w:t>(3)(4)(5)(16)</w:t>
            </w:r>
          </w:p>
        </w:tc>
        <w:tc>
          <w:tcPr>
            <w:tcW w:w="146" w:type="dxa"/>
            <w:tcBorders/>
            <w:shd w:fill="CCEEFF" w:val="clear"/>
            <w:vAlign w:val="bottom"/>
          </w:tcPr>
          <w:p>
            <w:pPr>
              <w:pStyle w:val="TableContents"/>
              <w:bidi w:val="0"/>
              <w:spacing w:before="0" w:after="283"/>
              <w:jc w:val="left"/>
            </w:pPr>
            <w:r>
              <w:t> </w:t>
            </w:r>
          </w:p>
        </w:tc>
        <w:tc>
          <w:tcPr>
            <w:tcW w:w="143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8,718,937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7,351,396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3,923,522</w:t>
            </w:r>
          </w:p>
        </w:tc>
        <w:tc>
          <w:tcPr>
            <w:tcW w:w="146" w:type="dxa"/>
            <w:tcBorders/>
            <w:shd w:fill="CCEEFF" w:val="clear"/>
            <w:vAlign w:val="bottom"/>
          </w:tcPr>
          <w:p>
            <w:pPr>
              <w:pStyle w:val="TableContents"/>
              <w:bidi w:val="0"/>
              <w:spacing w:before="0" w:after="283"/>
              <w:jc w:val="left"/>
            </w:pPr>
            <w:r>
              <w:t> </w:t>
            </w:r>
          </w:p>
        </w:tc>
        <w:tc>
          <w:tcPr>
            <w:tcW w:w="619" w:type="dxa"/>
            <w:tcBorders/>
            <w:shd w:fill="CCEEFF" w:val="clear"/>
            <w:vAlign w:val="bottom"/>
          </w:tcPr>
          <w:p>
            <w:pPr>
              <w:pStyle w:val="TableContents"/>
              <w:bidi w:val="0"/>
              <w:spacing w:before="0" w:after="283"/>
              <w:jc w:val="left"/>
            </w:pPr>
            <w:r>
              <w:t> </w:t>
            </w:r>
          </w:p>
        </w:tc>
        <w:tc>
          <w:tcPr>
            <w:tcW w:w="405"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tbl>
      <w:tblPr>
        <w:tblW w:w="10205" w:type="dxa"/>
        <w:jc w:val="left"/>
        <w:tblInd w:w="0" w:type="dxa"/>
        <w:tblLayout w:type="fixed"/>
        <w:tblCellMar>
          <w:top w:w="0" w:type="dxa"/>
          <w:left w:w="0" w:type="dxa"/>
          <w:bottom w:w="0" w:type="dxa"/>
          <w:right w:w="0" w:type="dxa"/>
        </w:tblCellMar>
      </w:tblPr>
      <w:tblGrid>
        <w:gridCol w:w="2082"/>
        <w:gridCol w:w="146"/>
        <w:gridCol w:w="1383"/>
        <w:gridCol w:w="146"/>
        <w:gridCol w:w="286"/>
        <w:gridCol w:w="1246"/>
        <w:gridCol w:w="146"/>
        <w:gridCol w:w="286"/>
        <w:gridCol w:w="1396"/>
        <w:gridCol w:w="146"/>
        <w:gridCol w:w="286"/>
        <w:gridCol w:w="1396"/>
        <w:gridCol w:w="146"/>
        <w:gridCol w:w="721"/>
        <w:gridCol w:w="393"/>
      </w:tblGrid>
      <w:tr>
        <w:tc>
          <w:tcPr>
            <w:tcW w:w="20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1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08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 – (continued)</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Magenta Buyer, LLC </w:t>
              <w:br/>
              <w:t>(f/k/a McAfee Enterprise, LLC)</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10.83% (SOFR + 6.75%),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234,573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220,178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139,571</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11.08% (SOFR + 7.00%) (0.75% floor) due July 27, 2028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1,310,350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1,081,034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398,844</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10.33% (SOFR + 6.25%) (0.75% floor) due July 27, 2028</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10,340,152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4,921,876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1,313,199</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9.32% (SOFR + 5.50%), (0.00% floor) due December 31,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1,001,910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810,000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8.00% cash, 4.00% PIK, due December 31, 2030</w:t>
            </w:r>
            <w:r>
              <w:rPr>
                <w:rFonts w:ascii="Times New Roman PS Std;serif" w:hAnsi="Times New Roman PS Std;serif"/>
                <w:b w:val="false"/>
                <w:i w:val="false"/>
                <w:caps w:val="false"/>
                <w:smallCaps w:val="false"/>
                <w:sz w:val="12"/>
              </w:rPr>
              <w:t>(3)(5)</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3,675,783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1,445,614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1,132,619</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Smartronix, LLC</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8.40% (SOFR + 4.50%), (0.00% floor) due February 6, 2032</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6,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9,874,749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9,882,661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9,578,507</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Tungsten Automation Corporation </w:t>
              <w:br/>
              <w:t>(f/k/a Kofax, Inc.)</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9.17% (SOFR + 5.25%), (0.50% floor) due July 20, 2029</w:t>
            </w:r>
            <w:r>
              <w:rPr>
                <w:rFonts w:ascii="Times New Roman PS Std;serif" w:hAnsi="Times New Roman PS Std;serif"/>
                <w:b w:val="false"/>
                <w:i w:val="false"/>
                <w:caps w:val="false"/>
                <w:smallCaps w:val="false"/>
                <w:sz w:val="12"/>
              </w:rPr>
              <w:t>(4)(5)(6)(16)</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 2023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9,680,995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9,303,149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5,239,839</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54,757,523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38,857,015</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26.7</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08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9.59% (SOFR + 5.75%), (0.00% floor) due June 4,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934,808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904,137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215,006</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Global Tel Link Corp.</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11.40% (SOFR + 7.50%), (3.00% floor) due August 6, 2029</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10,206,814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9,991,119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10,334,399</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10,895,256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10,549,405</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7.3</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082" w:type="dxa"/>
            <w:tcBorders/>
            <w:shd w:fill="CCEEFF" w:val="clear"/>
            <w:vAlign w:val="bottom"/>
          </w:tcPr>
          <w:p>
            <w:pPr>
              <w:pStyle w:val="TableContents"/>
              <w:keepNext w:val="false"/>
              <w:widowControl/>
              <w:pBdr/>
              <w:bidi w:val="0"/>
              <w:spacing w:before="0" w:after="283"/>
              <w:ind w:left="9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United States</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170,437,428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153,372,807</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105.5</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082"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Senior Secured Notes</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170,437,428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153,372,807</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105.5</w:t>
            </w:r>
          </w:p>
        </w:tc>
        <w:tc>
          <w:tcPr>
            <w:tcW w:w="39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08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100" w:right="60" w:hanging="1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Collateralized Loan Obligation – Equity Investments</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Allegro CLO XII, Ltd.</w:t>
            </w:r>
          </w:p>
        </w:tc>
        <w:tc>
          <w:tcPr>
            <w:tcW w:w="146" w:type="dxa"/>
            <w:tcBorders/>
            <w:shd w:fill="CCEEFF" w:val="clear"/>
            <w:vAlign w:val="bottom"/>
          </w:tcPr>
          <w:p>
            <w:pPr>
              <w:pStyle w:val="TableContents"/>
              <w:bidi w:val="0"/>
              <w:spacing w:before="0" w:after="283"/>
              <w:jc w:val="left"/>
            </w:pPr>
            <w:r>
              <w:t> </w:t>
            </w:r>
          </w:p>
        </w:tc>
        <w:tc>
          <w:tcPr>
            <w:tcW w:w="138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8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10.25% due July 21,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1383"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21,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1,759,887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tbl>
      <w:tblPr>
        <w:tblW w:w="10205" w:type="dxa"/>
        <w:jc w:val="left"/>
        <w:tblInd w:w="0" w:type="dxa"/>
        <w:tblLayout w:type="fixed"/>
        <w:tblCellMar>
          <w:top w:w="0" w:type="dxa"/>
          <w:left w:w="0" w:type="dxa"/>
          <w:bottom w:w="0" w:type="dxa"/>
          <w:right w:w="0" w:type="dxa"/>
        </w:tblCellMar>
      </w:tblPr>
      <w:tblGrid>
        <w:gridCol w:w="2462"/>
        <w:gridCol w:w="146"/>
        <w:gridCol w:w="1512"/>
        <w:gridCol w:w="146"/>
        <w:gridCol w:w="286"/>
        <w:gridCol w:w="1246"/>
        <w:gridCol w:w="146"/>
        <w:gridCol w:w="286"/>
        <w:gridCol w:w="1246"/>
        <w:gridCol w:w="146"/>
        <w:gridCol w:w="286"/>
        <w:gridCol w:w="1126"/>
        <w:gridCol w:w="146"/>
        <w:gridCol w:w="1025"/>
      </w:tblGrid>
      <w:tr>
        <w:tc>
          <w:tcPr>
            <w:tcW w:w="246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4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462" w:type="dxa"/>
            <w:tcBorders/>
            <w:shd w:fill="CCEEFF" w:val="clear"/>
            <w:vAlign w:val="bottom"/>
          </w:tcPr>
          <w:p>
            <w:pPr>
              <w:pStyle w:val="TableContents"/>
              <w:keepNext w:val="false"/>
              <w:widowControl/>
              <w:pBdr/>
              <w:bidi w:val="0"/>
              <w:spacing w:before="0" w:after="283"/>
              <w:ind w:left="100" w:right="60" w:hanging="1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u w:val="single"/>
              </w:rPr>
              <w:t>Investments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Ares XLIV CLO Ltd.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11.72% due April 15, 2034</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15, 2023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1,293,772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456,012</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Atlas Senior Loan Fund XI,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26, 2031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5, 2019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5,725,000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1,402,272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573</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Bain Capital Credit CLO 2017-2, Ltd.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4.88% due July 25,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3,086,500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1,652,893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771,625</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2014-2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20, 2030</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2019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365,288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XXXI Ltd.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3.24% due April 19, 2034</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12,075,000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6,276,945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2,475,375</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Carlyle Global Market Strategies CLO 2021-6,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7.38% due January 15,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18,899,404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8,288,000</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CBAMR 2017-1, Ltd.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24.38% due January 20,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7,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1,658,726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1,527,500</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II CLO,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4.09% due July 22,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 2013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9,859,134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2,970,000</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fee notes, due July 22, 2038</w:t>
            </w:r>
            <w:r>
              <w:rPr>
                <w:rFonts w:ascii="Times New Roman PS Std;serif" w:hAnsi="Times New Roman PS Std;serif"/>
                <w:b w:val="false"/>
                <w:i w:val="false"/>
                <w:caps w:val="false"/>
                <w:smallCaps w:val="false"/>
                <w:sz w:val="12"/>
              </w:rPr>
              <w:t>(13)(24)</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 2013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73,158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870,989</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VI CLO,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8.45% due April 20, 2034</w:t>
            </w:r>
            <w:r>
              <w:rPr>
                <w:rFonts w:ascii="Times New Roman PS Std;serif" w:hAnsi="Times New Roman PS Std;serif"/>
                <w:b w:val="false"/>
                <w:i w:val="false"/>
                <w:caps w:val="false"/>
                <w:smallCaps w:val="false"/>
                <w:sz w:val="12"/>
              </w:rPr>
              <w:t>(9)(11)(12)(18)</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2017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4,935,194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1,771,000</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2014-3, Ltd.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income notes, estimated yield 0.00% due March 31,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24, 2017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1,832,360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410,000</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2021-II,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income notes, estimated yield 21.22% due January 15, 2039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30,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6,411,750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2,526,094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2,524,947</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43 Senior Loan Fund</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20, 2034</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47,263,000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18,791,063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5,907,875</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r>
        <w:tc>
          <w:tcPr>
            <w:tcW w:w="2462"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109 CLO, Ltd.</w:t>
            </w:r>
          </w:p>
        </w:tc>
        <w:tc>
          <w:tcPr>
            <w:tcW w:w="146" w:type="dxa"/>
            <w:tcBorders/>
            <w:shd w:fill="CCEEFF" w:val="clear"/>
            <w:vAlign w:val="bottom"/>
          </w:tcPr>
          <w:p>
            <w:pPr>
              <w:pStyle w:val="TableContents"/>
              <w:bidi w:val="0"/>
              <w:spacing w:before="0" w:after="283"/>
              <w:jc w:val="left"/>
            </w:pPr>
            <w:r>
              <w:t> </w:t>
            </w:r>
          </w:p>
        </w:tc>
        <w:tc>
          <w:tcPr>
            <w:tcW w:w="151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025" w:type="dxa"/>
            <w:tcBorders/>
            <w:shd w:fill="CCEEFF" w:val="clear"/>
            <w:vAlign w:val="bottom"/>
          </w:tcPr>
          <w:p>
            <w:pPr>
              <w:pStyle w:val="TableContents"/>
              <w:bidi w:val="0"/>
              <w:spacing w:before="0" w:after="283"/>
              <w:jc w:val="left"/>
            </w:pPr>
            <w:r>
              <w:t> </w:t>
            </w:r>
          </w:p>
        </w:tc>
      </w:tr>
      <w:tr>
        <w:tc>
          <w:tcPr>
            <w:tcW w:w="2462"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24.02% due April 15,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151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5,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8,359,392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6,623,357</w:t>
            </w:r>
          </w:p>
        </w:tc>
        <w:tc>
          <w:tcPr>
            <w:tcW w:w="146" w:type="dxa"/>
            <w:tcBorders/>
            <w:vAlign w:val="bottom"/>
          </w:tcPr>
          <w:p>
            <w:pPr>
              <w:pStyle w:val="TableContents"/>
              <w:bidi w:val="0"/>
              <w:spacing w:before="0" w:after="283"/>
              <w:jc w:val="left"/>
            </w:pPr>
            <w:r>
              <w:t> </w:t>
            </w:r>
          </w:p>
        </w:tc>
        <w:tc>
          <w:tcPr>
            <w:tcW w:w="1025" w:type="dxa"/>
            <w:tcBorders/>
            <w:vAlign w:val="bottom"/>
          </w:tcPr>
          <w:p>
            <w:pPr>
              <w:pStyle w:val="TableContents"/>
              <w:bidi w:val="0"/>
              <w:spacing w:before="0" w:after="283"/>
              <w:jc w:val="left"/>
            </w:pPr>
            <w:r>
              <w:t> </w:t>
            </w:r>
          </w:p>
        </w:tc>
      </w:tr>
    </w:tbl>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tbl>
      <w:tblPr>
        <w:tblW w:w="10205" w:type="dxa"/>
        <w:jc w:val="left"/>
        <w:tblInd w:w="0" w:type="dxa"/>
        <w:tblLayout w:type="fixed"/>
        <w:tblCellMar>
          <w:top w:w="0" w:type="dxa"/>
          <w:left w:w="0" w:type="dxa"/>
          <w:bottom w:w="0" w:type="dxa"/>
          <w:right w:w="0" w:type="dxa"/>
        </w:tblCellMar>
      </w:tblPr>
      <w:tblGrid>
        <w:gridCol w:w="2199"/>
        <w:gridCol w:w="146"/>
        <w:gridCol w:w="1486"/>
        <w:gridCol w:w="146"/>
        <w:gridCol w:w="286"/>
        <w:gridCol w:w="1246"/>
        <w:gridCol w:w="146"/>
        <w:gridCol w:w="286"/>
        <w:gridCol w:w="1396"/>
        <w:gridCol w:w="146"/>
        <w:gridCol w:w="286"/>
        <w:gridCol w:w="1276"/>
        <w:gridCol w:w="146"/>
        <w:gridCol w:w="613"/>
        <w:gridCol w:w="401"/>
      </w:tblGrid>
      <w:tr>
        <w:tc>
          <w:tcPr>
            <w:tcW w:w="219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1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199" w:type="dxa"/>
            <w:tcBorders/>
            <w:shd w:fill="CCEEFF" w:val="clear"/>
            <w:vAlign w:val="bottom"/>
          </w:tcPr>
          <w:p>
            <w:pPr>
              <w:pStyle w:val="TableContents"/>
              <w:keepNext w:val="false"/>
              <w:widowControl/>
              <w:pBdr/>
              <w:bidi w:val="0"/>
              <w:spacing w:before="0" w:after="283"/>
              <w:ind w:left="100" w:right="60" w:hanging="1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w:t>
            </w:r>
            <w:r>
              <w:rPr>
                <w:rFonts w:ascii="Times New Roman PS Std;serif" w:hAnsi="Times New Roman PS Std;serif"/>
                <w:b/>
                <w:i w:val="false"/>
                <w:caps w:val="false"/>
                <w:smallCaps w:val="false"/>
                <w:sz w:val="18"/>
              </w:rPr>
              <w:br/>
            </w:r>
            <w:r>
              <w:rPr>
                <w:rFonts w:ascii="Times New Roman PS Std;serif" w:hAnsi="Times New Roman PS Std;serif"/>
                <w:b/>
                <w:i w:val="false"/>
                <w:caps w:val="false"/>
                <w:smallCaps w:val="false"/>
                <w:sz w:val="18"/>
                <w:u w:val="single"/>
              </w:rPr>
              <w:t>Investments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Generate CLO 10, Ltd.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12.91% due January 22,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(9)(11)(12)(14)(18)</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21,322,963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15,600,000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Gulf Stream Meridian 5 Ltd.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12.76% due October 15, 2039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15, 2023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3,513,170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2,202,070</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XVIII, Ltd.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21, 2030</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612,925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132,500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XIX, Ltd.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January 22,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2016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5,422,500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1,023,189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481,518</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OCP CLO 2024-37, Ltd.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9.49% due October 15,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(9)(11)(12)(14)(18)(22)</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27,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27,035,000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23,745,807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14,869,250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Octagon Investment Partners 49, Ltd.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3.04% due April 15,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26,375,000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14,798,009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4,661,166</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fee notes, due April 15, 2037</w:t>
            </w:r>
            <w:r>
              <w:rPr>
                <w:rFonts w:ascii="Times New Roman PS Std;serif" w:hAnsi="Times New Roman PS Std;serif"/>
                <w:b w:val="false"/>
                <w:i w:val="false"/>
                <w:caps w:val="false"/>
                <w:smallCaps w:val="false"/>
                <w:sz w:val="12"/>
              </w:rPr>
              <w:t>(13)(24)</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28,875,000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119,371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301,722</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Park Blue CLO 2022-II, Ltd.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23.45% due July 20, 2039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5,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6,551,577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3,508,137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2,882,694</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Reese Park CLO, Ltd.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7.16% due January 15,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16,160,000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8,286,781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3,151,200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M2 fee notes, due January 15, 2038</w:t>
            </w:r>
            <w:r>
              <w:rPr>
                <w:rFonts w:ascii="Times New Roman PS Std;serif" w:hAnsi="Times New Roman PS Std;serif"/>
                <w:b w:val="false"/>
                <w:i w:val="false"/>
                <w:caps w:val="false"/>
                <w:smallCaps w:val="false"/>
                <w:sz w:val="12"/>
              </w:rPr>
              <w:t>(11)(12)(13)(22)(24)</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21,008,000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487,899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426,808</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Rockford Tower CLO 2025-3, Ltd.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27.35% due March 31,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6,134,038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5,670,000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fee notes, due March 31, 2038</w:t>
            </w:r>
            <w:r>
              <w:rPr>
                <w:rFonts w:ascii="Times New Roman PS Std;serif" w:hAnsi="Times New Roman PS Std;serif"/>
                <w:b w:val="false"/>
                <w:i w:val="false"/>
                <w:caps w:val="false"/>
                <w:smallCaps w:val="false"/>
                <w:sz w:val="12"/>
              </w:rPr>
              <w:t>(13)(22)(24)</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365,135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332,148</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 Point CLO XVI, Ltd.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25, 2030</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 2018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19,023,511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XX, Ltd.</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15, 2027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27, 2018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332,779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35 CLO, Limited</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22, 2031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(9)(11)(12)(18)(25)</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7, 2020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512,142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199"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Structured Finance</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183,471,438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86,364,016</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59.4</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199" w:type="dxa"/>
            <w:tcBorders/>
            <w:shd w:fill="CCEEFF" w:val="clear"/>
            <w:vAlign w:val="bottom"/>
          </w:tcPr>
          <w:p>
            <w:pPr>
              <w:pStyle w:val="TableContents"/>
              <w:keepNext w:val="false"/>
              <w:widowControl/>
              <w:pBdr/>
              <w:bidi w:val="0"/>
              <w:spacing w:before="0" w:after="283"/>
              <w:ind w:left="9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United States</w:t>
            </w:r>
          </w:p>
        </w:tc>
        <w:tc>
          <w:tcPr>
            <w:tcW w:w="146" w:type="dxa"/>
            <w:tcBorders/>
            <w:shd w:fill="CCEEFF" w:val="clear"/>
            <w:vAlign w:val="bottom"/>
          </w:tcPr>
          <w:p>
            <w:pPr>
              <w:pStyle w:val="TableContents"/>
              <w:bidi w:val="0"/>
              <w:spacing w:before="0" w:after="283"/>
              <w:jc w:val="left"/>
            </w:pPr>
            <w:r>
              <w:t> </w:t>
            </w:r>
          </w:p>
        </w:tc>
        <w:tc>
          <w:tcPr>
            <w:tcW w:w="14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183,471,438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86,364,016</w:t>
            </w:r>
          </w:p>
        </w:tc>
        <w:tc>
          <w:tcPr>
            <w:tcW w:w="146" w:type="dxa"/>
            <w:tcBorders/>
            <w:shd w:fill="CCEEFF" w:val="clear"/>
            <w:vAlign w:val="bottom"/>
          </w:tcPr>
          <w:p>
            <w:pPr>
              <w:pStyle w:val="TableContents"/>
              <w:bidi w:val="0"/>
              <w:spacing w:before="0" w:after="283"/>
              <w:jc w:val="left"/>
            </w:pPr>
            <w:r>
              <w:t> </w:t>
            </w:r>
          </w:p>
        </w:tc>
        <w:tc>
          <w:tcPr>
            <w:tcW w:w="6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59.4</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199"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Collateralized Loan Obligation – Equity Investments</w:t>
            </w:r>
          </w:p>
        </w:tc>
        <w:tc>
          <w:tcPr>
            <w:tcW w:w="146" w:type="dxa"/>
            <w:tcBorders/>
            <w:vAlign w:val="bottom"/>
          </w:tcPr>
          <w:p>
            <w:pPr>
              <w:pStyle w:val="TableContents"/>
              <w:bidi w:val="0"/>
              <w:spacing w:before="0" w:after="283"/>
              <w:jc w:val="left"/>
            </w:pPr>
            <w:r>
              <w:t> </w:t>
            </w:r>
          </w:p>
        </w:tc>
        <w:tc>
          <w:tcPr>
            <w:tcW w:w="148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183,471,438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86,364,016</w:t>
            </w:r>
          </w:p>
        </w:tc>
        <w:tc>
          <w:tcPr>
            <w:tcW w:w="146" w:type="dxa"/>
            <w:tcBorders/>
            <w:vAlign w:val="bottom"/>
          </w:tcPr>
          <w:p>
            <w:pPr>
              <w:pStyle w:val="TableContents"/>
              <w:bidi w:val="0"/>
              <w:spacing w:before="0" w:after="283"/>
              <w:jc w:val="left"/>
            </w:pPr>
            <w:r>
              <w:t> </w:t>
            </w:r>
          </w:p>
        </w:tc>
        <w:tc>
          <w:tcPr>
            <w:tcW w:w="6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59.4</w:t>
            </w:r>
          </w:p>
        </w:tc>
        <w:tc>
          <w:tcPr>
            <w:tcW w:w="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tbl>
      <w:tblPr>
        <w:tblW w:w="10205" w:type="dxa"/>
        <w:jc w:val="left"/>
        <w:tblInd w:w="0" w:type="dxa"/>
        <w:tblLayout w:type="fixed"/>
        <w:tblCellMar>
          <w:top w:w="0" w:type="dxa"/>
          <w:left w:w="0" w:type="dxa"/>
          <w:bottom w:w="0" w:type="dxa"/>
          <w:right w:w="0" w:type="dxa"/>
        </w:tblCellMar>
      </w:tblPr>
      <w:tblGrid>
        <w:gridCol w:w="2560"/>
        <w:gridCol w:w="146"/>
        <w:gridCol w:w="1462"/>
        <w:gridCol w:w="146"/>
        <w:gridCol w:w="286"/>
        <w:gridCol w:w="1246"/>
        <w:gridCol w:w="146"/>
        <w:gridCol w:w="286"/>
        <w:gridCol w:w="1156"/>
        <w:gridCol w:w="146"/>
        <w:gridCol w:w="286"/>
        <w:gridCol w:w="1156"/>
        <w:gridCol w:w="146"/>
        <w:gridCol w:w="570"/>
        <w:gridCol w:w="467"/>
      </w:tblGrid>
      <w:tr>
        <w:tc>
          <w:tcPr>
            <w:tcW w:w="25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br/>
              <w:t>SHARES</w:t>
            </w:r>
          </w:p>
        </w:tc>
        <w:tc>
          <w:tcPr>
            <w:tcW w:w="146" w:type="dxa"/>
            <w:tcBorders/>
            <w:vAlign w:val="bottom"/>
          </w:tcPr>
          <w:p>
            <w:pPr>
              <w:pStyle w:val="TableContents"/>
              <w:bidi w:val="0"/>
              <w:spacing w:before="0" w:after="283"/>
              <w:jc w:val="left"/>
            </w:pPr>
            <w: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4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56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Equity and Other Investments</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Convertible Notes</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5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Invisible Technologies, Inc.</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unsecured convertible promissory note, 17.00% PIK</w:t>
            </w:r>
            <w:r>
              <w:rPr>
                <w:rFonts w:ascii="Times New Roman PS Std;serif" w:hAnsi="Times New Roman PS Std;serif"/>
                <w:b w:val="false"/>
                <w:i w:val="false"/>
                <w:caps w:val="false"/>
                <w:smallCaps w:val="false"/>
                <w:sz w:val="12"/>
              </w:rPr>
              <w:t>(3)</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8"/>
              </w:rPr>
              <w:t>due February 3, 2031</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3, 2026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2,959,453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3,290,263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3,290,263</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3,290,263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3,290,263</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Convertible Notes</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3,290,263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3,290,263</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2.3</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Common Stock</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HealthChannels, Inc. </w:t>
              <w:br/>
              <w:t>(f/k/a ScribeAmerica, LLC)</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30,610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1,224,400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1,224,400</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1,224,400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1,224,400</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0.8</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13, 2015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1,244,188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684,960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0"/>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684,960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27,251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0"/>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8,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95,775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1,349,602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12,451</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1,349,602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12,451</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Common Stock</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3,258,962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1,236,851</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0.9</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Simple Agreements for Future Equity (“SAFE”)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Infinity Constellation Inc.</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SAFE Investment</w:t>
            </w:r>
            <w:r>
              <w:rPr>
                <w:rFonts w:ascii="Times New Roman PS Std;serif" w:hAnsi="Times New Roman PS Std;serif"/>
                <w:b w:val="false"/>
                <w:i w:val="false"/>
                <w:caps w:val="false"/>
                <w:smallCaps w:val="false"/>
                <w:sz w:val="12"/>
              </w:rPr>
              <w:t>(7)(21)</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25,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sz w:val="18"/>
              </w:rPr>
            </w:pPr>
            <w:r>
              <w:rPr>
                <w:sz w:val="18"/>
              </w:rPr>
              <w:t>N/A</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SAFE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Warrants</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Careismatic Brands, Inc. </w:t>
              <w:br/>
              <w:t>(f/k/a New Trojan Parent, Inc.)</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bidi w:val="0"/>
              <w:spacing w:before="0" w:after="283"/>
              <w:jc w:val="left"/>
            </w:pPr>
            <w:r>
              <w:rPr>
                <w:sz w:val="18"/>
              </w:rPr>
              <w:t>common equity warrants (June 2029 expiry, $119.80 strike)</w:t>
            </w:r>
            <w:r>
              <w:rPr>
                <w:sz w:val="12"/>
              </w:rPr>
              <w:t>(7)</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13,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62,157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6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Warrants</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6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Stock</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Modern Intelligence, Inc.</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5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bidi w:val="0"/>
              <w:spacing w:before="0" w:after="283"/>
              <w:jc w:val="left"/>
            </w:pPr>
            <w:r>
              <w:t> </w:t>
            </w:r>
          </w:p>
        </w:tc>
        <w:tc>
          <w:tcPr>
            <w:tcW w:w="46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A-1 Preferred Stock</w:t>
            </w:r>
            <w:r>
              <w:rPr>
                <w:rFonts w:ascii="Times New Roman PS Std;serif" w:hAnsi="Times New Roman PS Std;serif"/>
                <w:b w:val="false"/>
                <w:i w:val="false"/>
                <w:caps w:val="false"/>
                <w:smallCaps w:val="false"/>
                <w:sz w:val="12"/>
              </w:rPr>
              <w:t>(7)(26)</w:t>
            </w:r>
          </w:p>
        </w:tc>
        <w:tc>
          <w:tcPr>
            <w:tcW w:w="146" w:type="dxa"/>
            <w:tcBorders/>
            <w:shd w:fill="CCEEFF" w:val="clear"/>
            <w:vAlign w:val="bottom"/>
          </w:tcPr>
          <w:p>
            <w:pPr>
              <w:pStyle w:val="TableContents"/>
              <w:bidi w:val="0"/>
              <w:spacing w:before="0" w:after="283"/>
              <w:jc w:val="left"/>
            </w:pPr>
            <w:r>
              <w:t> </w:t>
            </w:r>
          </w:p>
        </w:tc>
        <w:tc>
          <w:tcPr>
            <w:tcW w:w="1462"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31,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20,635,575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1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bidi w:val="0"/>
              <w:spacing w:before="0" w:after="283"/>
              <w:jc w:val="left"/>
            </w:pPr>
            <w:r>
              <w:t> </w:t>
            </w:r>
          </w:p>
        </w:tc>
        <w:tc>
          <w:tcPr>
            <w:tcW w:w="46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6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vAlign w:val="bottom"/>
          </w:tcPr>
          <w:p>
            <w:pPr>
              <w:pStyle w:val="TableContents"/>
              <w:bidi w:val="0"/>
              <w:spacing w:before="0" w:after="283"/>
              <w:jc w:val="left"/>
            </w:pPr>
            <w:r>
              <w:t> </w:t>
            </w:r>
          </w:p>
        </w:tc>
        <w:tc>
          <w:tcPr>
            <w:tcW w:w="146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1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5,000,000</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4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tbl>
      <w:tblPr>
        <w:tblW w:w="10205" w:type="dxa"/>
        <w:jc w:val="left"/>
        <w:tblInd w:w="0" w:type="dxa"/>
        <w:tblLayout w:type="fixed"/>
        <w:tblCellMar>
          <w:top w:w="0" w:type="dxa"/>
          <w:left w:w="0" w:type="dxa"/>
          <w:bottom w:w="0" w:type="dxa"/>
          <w:right w:w="0" w:type="dxa"/>
        </w:tblCellMar>
      </w:tblPr>
      <w:tblGrid>
        <w:gridCol w:w="2300"/>
        <w:gridCol w:w="146"/>
        <w:gridCol w:w="1431"/>
        <w:gridCol w:w="146"/>
        <w:gridCol w:w="1246"/>
        <w:gridCol w:w="146"/>
        <w:gridCol w:w="286"/>
        <w:gridCol w:w="1396"/>
        <w:gridCol w:w="146"/>
        <w:gridCol w:w="286"/>
        <w:gridCol w:w="1396"/>
        <w:gridCol w:w="146"/>
        <w:gridCol w:w="734"/>
        <w:gridCol w:w="400"/>
      </w:tblGrid>
      <w:tr>
        <w:tc>
          <w:tcPr>
            <w:tcW w:w="23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13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w:t>
            </w:r>
            <w:r>
              <w:rPr>
                <w:rFonts w:ascii="Times New Roman PS Std;serif" w:hAnsi="Times New Roman PS Std;serif"/>
                <w:b/>
                <w:i w:val="false"/>
                <w:caps/>
                <w:sz w:val="16"/>
              </w:rPr>
              <w:t xml:space="preserve">OF </w:t>
              <w:br/>
              <w:t xml:space="preserve">NET </w:t>
              <w:br/>
              <w:t>ASSETS</w:t>
            </w:r>
            <w:r>
              <w:rPr>
                <w:rFonts w:ascii="Times New Roman PS Std;serif" w:hAnsi="Times New Roman PS Std;serif"/>
                <w:b/>
                <w:i w:val="false"/>
                <w:caps w:val="false"/>
                <w:smallCaps w:val="false"/>
                <w:sz w:val="12"/>
              </w:rPr>
              <w:t>(10)</w:t>
            </w:r>
          </w:p>
        </w:tc>
      </w:tr>
      <w:tr>
        <w:tc>
          <w:tcPr>
            <w:tcW w:w="230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Equity and Other Investments</w:t>
            </w:r>
            <w:r>
              <w:rPr>
                <w:rFonts w:ascii="Times New Roman PS Std;serif" w:hAnsi="Times New Roman PS Std;serif"/>
                <w:b w:val="false"/>
                <w:i w:val="false"/>
                <w:caps w:val="false"/>
                <w:smallCaps w:val="false"/>
                <w:sz w:val="20"/>
              </w:rPr>
              <w:t xml:space="preserve">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3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United States – (continued)</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Preferred Stock – (continued)</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Preferred Stock</w:t>
            </w:r>
            <w:r>
              <w:rPr>
                <w:rFonts w:ascii="Times New Roman PS Std;serif" w:hAnsi="Times New Roman PS Std;serif"/>
                <w:b w:val="false"/>
                <w:i w:val="false"/>
                <w:caps w:val="false"/>
                <w:smallCaps w:val="false"/>
                <w:sz w:val="12"/>
              </w:rPr>
              <w:t>(7)(17)</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21,427,212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9,002,159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Senior Preferred Stock</w:t>
            </w:r>
            <w:r>
              <w:rPr>
                <w:rFonts w:ascii="Times New Roman PS Std;serif" w:hAnsi="Times New Roman PS Std;serif"/>
                <w:b w:val="false"/>
                <w:i w:val="false"/>
                <w:caps w:val="false"/>
                <w:smallCaps w:val="false"/>
                <w:sz w:val="12"/>
              </w:rPr>
              <w:t>(7)(17)</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12,080,847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4,535,443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Super Senior Preferred Stock, 20.00% PIK</w:t>
            </w:r>
            <w:r>
              <w:rPr>
                <w:rFonts w:ascii="Times New Roman PS Std;serif" w:hAnsi="Times New Roman PS Std;serif"/>
                <w:b w:val="false"/>
                <w:i w:val="false"/>
                <w:caps w:val="false"/>
                <w:smallCaps w:val="false"/>
                <w:sz w:val="12"/>
              </w:rPr>
              <w:t>(3)(17)</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9,103,166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6,817,361</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7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6,817,361</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4.7</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5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A Preferred Stock</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187,219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104,000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Class B Preferred Stock</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21, 2026</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561,656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7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104,000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Preferred Stock</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21,233,626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11,817,361</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8.1</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shd w:fill="CCEEFF" w:val="clear"/>
            <w:vAlign w:val="bottom"/>
          </w:tcPr>
          <w:p>
            <w:pPr>
              <w:pStyle w:val="TableContents"/>
              <w:keepNext w:val="false"/>
              <w:widowControl/>
              <w:pBdr/>
              <w:bidi w:val="0"/>
              <w:spacing w:before="0" w:after="283"/>
              <w:ind w:left="9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United States</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31,782,851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20,344,475</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14.0</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Equity and Other Investments</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31,782,851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20,344,475</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14.0</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Total Investments in Securities</w:t>
            </w:r>
            <w:r>
              <w:rPr>
                <w:rFonts w:ascii="Times New Roman PS Std;serif" w:hAnsi="Times New Roman PS Std;serif"/>
                <w:b w:val="false"/>
                <w:i w:val="false"/>
                <w:caps w:val="false"/>
                <w:smallCaps w:val="false"/>
                <w:sz w:val="12"/>
              </w:rPr>
              <w:t>(8)</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385,691,717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260,081,298</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179.0</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Cash Equivalents</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American Government Obligations Fund – Class Z Shares, 3.72%</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42,822,297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42,822,297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42,822,297</w:t>
            </w:r>
          </w:p>
        </w:tc>
        <w:tc>
          <w:tcPr>
            <w:tcW w:w="146" w:type="dxa"/>
            <w:tcBorders/>
            <w:shd w:fill="CCEEFF" w:val="clear"/>
            <w:vAlign w:val="bottom"/>
          </w:tcPr>
          <w:p>
            <w:pPr>
              <w:pStyle w:val="TableContents"/>
              <w:bidi w:val="0"/>
              <w:spacing w:before="0" w:after="283"/>
              <w:jc w:val="left"/>
            </w:pPr>
            <w:r>
              <w:t> </w:t>
            </w:r>
          </w:p>
        </w:tc>
        <w:tc>
          <w:tcPr>
            <w:tcW w:w="734"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300"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Cash Equivalents</w:t>
            </w:r>
          </w:p>
        </w:tc>
        <w:tc>
          <w:tcPr>
            <w:tcW w:w="146" w:type="dxa"/>
            <w:tcBorders/>
            <w:vAlign w:val="bottom"/>
          </w:tcPr>
          <w:p>
            <w:pPr>
              <w:pStyle w:val="TableContents"/>
              <w:bidi w:val="0"/>
              <w:spacing w:before="0" w:after="283"/>
              <w:jc w:val="left"/>
            </w:pPr>
            <w:r>
              <w:t> </w:t>
            </w:r>
          </w:p>
        </w:tc>
        <w:tc>
          <w:tcPr>
            <w:tcW w:w="14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42,822,297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42,822,297</w:t>
            </w:r>
          </w:p>
        </w:tc>
        <w:tc>
          <w:tcPr>
            <w:tcW w:w="146" w:type="dxa"/>
            <w:tcBorders/>
            <w:vAlign w:val="bottom"/>
          </w:tcPr>
          <w:p>
            <w:pPr>
              <w:pStyle w:val="TableContents"/>
              <w:bidi w:val="0"/>
              <w:spacing w:before="0" w:after="283"/>
              <w:jc w:val="left"/>
            </w:pPr>
            <w:r>
              <w:t> </w:t>
            </w:r>
          </w:p>
        </w:tc>
        <w:tc>
          <w:tcPr>
            <w:tcW w:w="7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29.5</w:t>
            </w:r>
          </w:p>
        </w:tc>
        <w:tc>
          <w:tcPr>
            <w:tcW w:w="4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300"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Investments in Securities and Cash Equivalents</w:t>
            </w:r>
          </w:p>
        </w:tc>
        <w:tc>
          <w:tcPr>
            <w:tcW w:w="146" w:type="dxa"/>
            <w:tcBorders/>
            <w:shd w:fill="CCEEFF" w:val="clear"/>
            <w:vAlign w:val="bottom"/>
          </w:tcPr>
          <w:p>
            <w:pPr>
              <w:pStyle w:val="TableContents"/>
              <w:bidi w:val="0"/>
              <w:spacing w:before="0" w:after="283"/>
              <w:jc w:val="left"/>
            </w:pPr>
            <w:r>
              <w:t> </w:t>
            </w:r>
          </w:p>
        </w:tc>
        <w:tc>
          <w:tcPr>
            <w:tcW w:w="14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428,514,014</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302,903,595</w:t>
            </w:r>
          </w:p>
        </w:tc>
        <w:tc>
          <w:tcPr>
            <w:tcW w:w="146" w:type="dxa"/>
            <w:tcBorders/>
            <w:shd w:fill="CCEEFF" w:val="clear"/>
            <w:vAlign w:val="bottom"/>
          </w:tcPr>
          <w:p>
            <w:pPr>
              <w:pStyle w:val="TableContents"/>
              <w:bidi w:val="0"/>
              <w:spacing w:before="0" w:after="283"/>
              <w:jc w:val="left"/>
            </w:pPr>
            <w:r>
              <w:t> </w:t>
            </w:r>
          </w:p>
        </w:tc>
        <w:tc>
          <w:tcPr>
            <w:tcW w:w="73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208.5</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with the exception of cash equivalents,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September 30, 2026, the portfolio includes approximately $36.4 million of principal amount of debt investments and 9,103,166 shares of preferred stock investments which contain an active payment-in-kind (“PIK”)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September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September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$13,136,144; aggregate gross unrealized depreciation for U.S. federal income tax purposes is $152,702,087. Net unrealized depreciation is $139,565,943 based upon an estimated tax cost basis of $399,647,241 as of September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September 30, 2026, the Company held qualifying assets that represented 71.7% of its total assets.</w:t>
      </w:r>
    </w:p>
    <w:p>
      <w:pPr>
        <w:pStyle w:val="TextBody"/>
        <w:keepNext w:val="false"/>
        <w:pageBreakBefore w:val="false"/>
        <w:widowControl/>
        <w:pBdr/>
        <w:bidi w:val="0"/>
        <w:spacing w:before="12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(Unaudited) — (continued)</w:t>
        <w:br/>
        <w:t>September 30, 2026</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may not be domiciled in the United States, however, the principal country of risk where this investment primarily has exposure is the United States, due to its underlying collateral portfolio.</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Investment represents the Company’s interest in subordinated fee notes. Fair value represents discounted cash flows associated with fees earned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interest rate on the principal balance outstanding for this debt investment, in whole or in part, is indexed to 90-day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September 30, 2026, this investment was on non-accrual status and no interest or dividend income has been recognized on this investment during the nine months ended September 30, 2026. The aggregate fair value of these investments was approximately $6.8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September 30, 2026. Additionally, the yield presented is as of September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 with the exception of cash equivalents. See “Note 4.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Company’s SAFE (Simple Agreement for Future Equity) investment in Infinity Constellation Inc. is not debt (no stated interest or maturity) and provides the right to receive equity in the future upon a qualifying equity financing.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 See “Note 7.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interest rate on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September 30, 2026,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As defined in the Investment Company Act, the Company is deemed to be both an “Affiliated Person” of this portfolio company and “Control” this portfolio company because it owns more than 25% of the portfolio company’s outstanding voting securities or it has the power to exercise control over the management or policies of such portfolio company (including through a management agreement). Transactions as of and during the nine months ended September 30, 2026 in which the issuer was both an Affiliated Person and a portfolio company that the Company is deemed to Control are as follows:</w:t>
      </w:r>
    </w:p>
    <w:tbl>
      <w:tblPr>
        <w:tblW w:w="11218" w:type="dxa"/>
        <w:jc w:val="left"/>
        <w:tblInd w:w="0" w:type="dxa"/>
        <w:tblLayout w:type="fixed"/>
        <w:tblCellMar>
          <w:top w:w="0" w:type="dxa"/>
          <w:left w:w="0" w:type="dxa"/>
          <w:bottom w:w="0" w:type="dxa"/>
          <w:right w:w="0" w:type="dxa"/>
        </w:tblCellMar>
      </w:tblPr>
      <w:tblGrid>
        <w:gridCol w:w="161"/>
        <w:gridCol w:w="146"/>
        <w:gridCol w:w="941"/>
        <w:gridCol w:w="146"/>
        <w:gridCol w:w="916"/>
        <w:gridCol w:w="146"/>
        <w:gridCol w:w="438"/>
        <w:gridCol w:w="658"/>
        <w:gridCol w:w="146"/>
        <w:gridCol w:w="576"/>
        <w:gridCol w:w="865"/>
        <w:gridCol w:w="146"/>
        <w:gridCol w:w="271"/>
        <w:gridCol w:w="991"/>
        <w:gridCol w:w="146"/>
        <w:gridCol w:w="498"/>
        <w:gridCol w:w="748"/>
        <w:gridCol w:w="146"/>
        <w:gridCol w:w="570"/>
        <w:gridCol w:w="856"/>
        <w:gridCol w:w="146"/>
        <w:gridCol w:w="323"/>
        <w:gridCol w:w="1238"/>
      </w:tblGrid>
      <w:t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9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of Issuer</w:t>
            </w:r>
          </w:p>
        </w:tc>
        <w:tc>
          <w:tcPr>
            <w:tcW w:w="146" w:type="dxa"/>
            <w:tcBorders/>
            <w:vAlign w:val="bottom"/>
          </w:tcPr>
          <w:p>
            <w:pPr>
              <w:pStyle w:val="TableContents"/>
              <w:bidi w:val="0"/>
              <w:spacing w:before="0" w:after="283"/>
              <w:jc w:val="left"/>
            </w:pPr>
            <w:r>
              <w:t> </w:t>
            </w:r>
          </w:p>
        </w:tc>
        <w:tc>
          <w:tcPr>
            <w:tcW w:w="9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Title of </w:t>
              <w:br/>
              <w:t>Issue</w:t>
            </w:r>
          </w:p>
        </w:tc>
        <w:tc>
          <w:tcPr>
            <w:tcW w:w="146" w:type="dxa"/>
            <w:tcBorders/>
            <w:vAlign w:val="bottom"/>
          </w:tcPr>
          <w:p>
            <w:pPr>
              <w:pStyle w:val="TableContents"/>
              <w:bidi w:val="0"/>
              <w:spacing w:before="0" w:after="283"/>
              <w:jc w:val="left"/>
            </w:pPr>
            <w:r>
              <w:t> </w:t>
            </w:r>
          </w:p>
        </w:tc>
        <w:tc>
          <w:tcPr>
            <w:tcW w:w="10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Amount of </w:t>
              <w:br/>
              <w:t xml:space="preserve">Interest or </w:t>
              <w:br/>
              <w:t xml:space="preserve">Dividends </w:t>
              <w:br/>
              <w:t xml:space="preserve">Credited to </w:t>
              <w:br/>
              <w:t>Income</w:t>
            </w:r>
            <w:r>
              <w:rPr>
                <w:rFonts w:ascii="Times New Roman PS Std;serif" w:hAnsi="Times New Roman PS Std;serif"/>
                <w:b/>
                <w:i w:val="false"/>
                <w:caps w:val="false"/>
                <w:smallCaps w:val="false"/>
                <w:sz w:val="8"/>
              </w:rPr>
              <w:t>(a)</w:t>
            </w:r>
          </w:p>
        </w:tc>
        <w:tc>
          <w:tcPr>
            <w:tcW w:w="146" w:type="dxa"/>
            <w:tcBorders/>
            <w:vAlign w:val="bottom"/>
          </w:tcPr>
          <w:p>
            <w:pPr>
              <w:pStyle w:val="TableContents"/>
              <w:bidi w:val="0"/>
              <w:spacing w:before="0" w:after="283"/>
              <w:jc w:val="left"/>
            </w:pPr>
            <w: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December 31, </w:t>
              <w:br/>
              <w:t>2025</w:t>
            </w:r>
          </w:p>
        </w:tc>
        <w:tc>
          <w:tcPr>
            <w:tcW w:w="146" w:type="dxa"/>
            <w:tcBorders/>
            <w:vAlign w:val="bottom"/>
          </w:tcPr>
          <w:p>
            <w:pPr>
              <w:pStyle w:val="TableContents"/>
              <w:bidi w:val="0"/>
              <w:spacing w:before="0" w:after="283"/>
              <w:jc w:val="left"/>
            </w:pPr>
            <w: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Gross </w:t>
              <w:br/>
              <w:t>Additions</w:t>
            </w:r>
            <w:r>
              <w:rPr>
                <w:rFonts w:ascii="Times New Roman PS Std;serif" w:hAnsi="Times New Roman PS Std;serif"/>
                <w:b/>
                <w:i w:val="false"/>
                <w:caps w:val="false"/>
                <w:smallCaps w:val="false"/>
                <w:sz w:val="8"/>
              </w:rPr>
              <w:t>(b)</w:t>
            </w:r>
          </w:p>
        </w:tc>
        <w:tc>
          <w:tcPr>
            <w:tcW w:w="146" w:type="dxa"/>
            <w:tcBorders/>
            <w:vAlign w:val="bottom"/>
          </w:tcPr>
          <w:p>
            <w:pPr>
              <w:pStyle w:val="TableContents"/>
              <w:bidi w:val="0"/>
              <w:spacing w:before="0" w:after="283"/>
              <w:jc w:val="left"/>
            </w:pPr>
            <w:r>
              <w:t> </w:t>
            </w:r>
          </w:p>
        </w:tc>
        <w:tc>
          <w:tcPr>
            <w:tcW w:w="124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Gross </w:t>
              <w:br/>
              <w:t>Reductions</w:t>
            </w:r>
            <w:r>
              <w:rPr>
                <w:rFonts w:ascii="Times New Roman PS Std;serif" w:hAnsi="Times New Roman PS Std;serif"/>
                <w:b/>
                <w:i w:val="false"/>
                <w:caps w:val="false"/>
                <w:smallCaps w:val="false"/>
                <w:sz w:val="8"/>
              </w:rPr>
              <w:t>(c)</w:t>
            </w:r>
          </w:p>
        </w:tc>
        <w:tc>
          <w:tcPr>
            <w:tcW w:w="146" w:type="dxa"/>
            <w:tcBorders/>
            <w:vAlign w:val="bottom"/>
          </w:tcPr>
          <w:p>
            <w:pPr>
              <w:pStyle w:val="TableContents"/>
              <w:bidi w:val="0"/>
              <w:spacing w:before="0" w:after="283"/>
              <w:jc w:val="left"/>
            </w:pPr>
            <w:r>
              <w:t> </w:t>
            </w:r>
          </w:p>
        </w:tc>
        <w:tc>
          <w:tcPr>
            <w:tcW w:w="14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Net change </w:t>
              <w:br/>
              <w:t xml:space="preserve">in Unrealized </w:t>
              <w:br/>
              <w:t xml:space="preserve">Appreciation/ </w:t>
              <w:br/>
              <w:t>(Depreciation)</w:t>
            </w:r>
          </w:p>
        </w:tc>
        <w:tc>
          <w:tcPr>
            <w:tcW w:w="146" w:type="dxa"/>
            <w:tcBorders/>
            <w:vAlign w:val="bottom"/>
          </w:tcPr>
          <w:p>
            <w:pPr>
              <w:pStyle w:val="TableContents"/>
              <w:bidi w:val="0"/>
              <w:spacing w:before="0" w:after="283"/>
              <w:jc w:val="left"/>
            </w:pPr>
            <w:r>
              <w:t> </w:t>
            </w:r>
          </w:p>
        </w:tc>
        <w:tc>
          <w:tcPr>
            <w:tcW w:w="15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as of</w:t>
              <w:br/>
              <w:t xml:space="preserve">September 30, </w:t>
              <w:br/>
              <w:t>2026</w:t>
            </w:r>
          </w:p>
        </w:tc>
      </w:tr>
      <w:tr>
        <w:tc>
          <w:tcPr>
            <w:tcW w:w="16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Control Investment:</w:t>
            </w:r>
          </w:p>
        </w:tc>
        <w:tc>
          <w:tcPr>
            <w:tcW w:w="146" w:type="dxa"/>
            <w:tcBorders/>
            <w:shd w:fill="CCEEFF" w:val="clear"/>
            <w:vAlign w:val="bottom"/>
          </w:tcPr>
          <w:p>
            <w:pPr>
              <w:pStyle w:val="TableContents"/>
              <w:bidi w:val="0"/>
              <w:spacing w:before="0" w:after="283"/>
              <w:jc w:val="left"/>
            </w:pPr>
            <w:r>
              <w:t> </w:t>
            </w:r>
          </w:p>
        </w:tc>
        <w:tc>
          <w:tcPr>
            <w:tcW w:w="9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58"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65"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48"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5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38" w:type="dxa"/>
            <w:tcBorders/>
            <w:shd w:fill="CCEEFF" w:val="clear"/>
            <w:vAlign w:val="bottom"/>
          </w:tcPr>
          <w:p>
            <w:pPr>
              <w:pStyle w:val="TableContents"/>
              <w:bidi w:val="0"/>
              <w:spacing w:before="0" w:after="283"/>
              <w:jc w:val="left"/>
            </w:pPr>
            <w:r>
              <w:t> </w:t>
            </w:r>
          </w:p>
        </w:tc>
      </w:tr>
      <w:tr>
        <w:tc>
          <w:tcPr>
            <w:tcW w:w="16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9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 xml:space="preserve">Modern Intelligence, </w:t>
              <w:br/>
              <w:t>Inc.</w:t>
            </w:r>
          </w:p>
        </w:tc>
        <w:tc>
          <w:tcPr>
            <w:tcW w:w="146" w:type="dxa"/>
            <w:tcBorders/>
            <w:vAlign w:val="bottom"/>
          </w:tcPr>
          <w:p>
            <w:pPr>
              <w:pStyle w:val="TableContents"/>
              <w:bidi w:val="0"/>
              <w:spacing w:before="0" w:after="283"/>
              <w:jc w:val="left"/>
            </w:pPr>
            <w:r>
              <w:t> </w:t>
            </w:r>
          </w:p>
        </w:tc>
        <w:tc>
          <w:tcPr>
            <w:tcW w:w="9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Series A-1 Preferred Stock</w:t>
            </w:r>
          </w:p>
        </w:tc>
        <w:tc>
          <w:tcPr>
            <w:tcW w:w="146" w:type="dxa"/>
            <w:tcBorders/>
            <w:vAlign w:val="bottom"/>
          </w:tcPr>
          <w:p>
            <w:pPr>
              <w:pStyle w:val="TableContents"/>
              <w:bidi w:val="0"/>
              <w:spacing w:before="0" w:after="283"/>
              <w:jc w:val="left"/>
            </w:pPr>
            <w:r>
              <w:t> </w:t>
            </w:r>
          </w:p>
        </w:tc>
        <w:tc>
          <w:tcPr>
            <w:tcW w:w="43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5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vAlign w:val="bottom"/>
          </w:tcPr>
          <w:p>
            <w:pPr>
              <w:pStyle w:val="TableContents"/>
              <w:bidi w:val="0"/>
              <w:spacing w:before="0" w:after="283"/>
              <w:jc w:val="left"/>
            </w:pPr>
            <w:r>
              <w:t> </w:t>
            </w:r>
          </w:p>
        </w:tc>
        <w:tc>
          <w:tcPr>
            <w:tcW w:w="4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4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r>
      <w:tr>
        <w:tc>
          <w:tcPr>
            <w:tcW w:w="16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Control Investment</w:t>
            </w:r>
          </w:p>
        </w:tc>
        <w:tc>
          <w:tcPr>
            <w:tcW w:w="146" w:type="dxa"/>
            <w:tcBorders/>
            <w:shd w:fill="CCEEFF" w:val="clear"/>
            <w:vAlign w:val="bottom"/>
          </w:tcPr>
          <w:p>
            <w:pPr>
              <w:pStyle w:val="TableContents"/>
              <w:bidi w:val="0"/>
              <w:spacing w:before="0" w:after="283"/>
              <w:jc w:val="left"/>
            </w:pPr>
            <w:r>
              <w:t> </w:t>
            </w:r>
          </w:p>
        </w:tc>
        <w:tc>
          <w:tcPr>
            <w:tcW w:w="9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6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c>
          <w:tcPr>
            <w:tcW w:w="146" w:type="dxa"/>
            <w:tcBorders/>
            <w:shd w:fill="CCEEFF" w:val="clear"/>
            <w:vAlign w:val="bottom"/>
          </w:tcPr>
          <w:p>
            <w:pPr>
              <w:pStyle w:val="TableContents"/>
              <w:bidi w:val="0"/>
              <w:spacing w:before="0" w:after="283"/>
              <w:jc w:val="left"/>
            </w:pPr>
            <w:r>
              <w:t> </w:t>
            </w:r>
          </w:p>
        </w:tc>
        <w:tc>
          <w:tcPr>
            <w:tcW w:w="4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5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3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23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5,000,000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96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      Represents the total amount of interest or distributions credited to income for the portion of the period an investment was a Control investment.</w:t>
      </w:r>
    </w:p>
    <w:p>
      <w:pPr>
        <w:pStyle w:val="TextBody"/>
        <w:keepNext w:val="false"/>
        <w:pageBreakBefore w:val="false"/>
        <w:widowControl/>
        <w:pBdr/>
        <w:bidi w:val="0"/>
        <w:spacing w:before="0" w:after="283"/>
        <w:ind w:left="96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(b)      Gross additions include increases in investments resulting from new portfolio investments, paid-in-kind interest or dividends, the amortization of discounts and fees.</w:t>
      </w:r>
    </w:p>
    <w:p>
      <w:pPr>
        <w:pStyle w:val="TextBody"/>
        <w:keepNext w:val="false"/>
        <w:pageBreakBefore w:val="false"/>
        <w:widowControl/>
        <w:pBdr/>
        <w:bidi w:val="0"/>
        <w:spacing w:before="0" w:after="283"/>
        <w:ind w:left="96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      Gross reductions include decreases in investments resulting from principal collections related to investment repayments or sales, the amortization of premiums and acquisition costs.</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5" w:name="T99505"/>
      <w:bookmarkEnd w:id="5"/>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w:t>
        <w:br/>
        <w:t>December 31, 2025</w:t>
      </w:r>
    </w:p>
    <w:tbl>
      <w:tblPr>
        <w:tblW w:w="10205" w:type="dxa"/>
        <w:jc w:val="left"/>
        <w:tblInd w:w="0" w:type="dxa"/>
        <w:tblLayout w:type="fixed"/>
        <w:tblCellMar>
          <w:top w:w="0" w:type="dxa"/>
          <w:left w:w="0" w:type="dxa"/>
          <w:bottom w:w="0" w:type="dxa"/>
          <w:right w:w="0" w:type="dxa"/>
        </w:tblCellMar>
      </w:tblPr>
      <w:tblGrid>
        <w:gridCol w:w="1987"/>
        <w:gridCol w:w="146"/>
        <w:gridCol w:w="1816"/>
        <w:gridCol w:w="146"/>
        <w:gridCol w:w="286"/>
        <w:gridCol w:w="1246"/>
        <w:gridCol w:w="146"/>
        <w:gridCol w:w="286"/>
        <w:gridCol w:w="1276"/>
        <w:gridCol w:w="146"/>
        <w:gridCol w:w="286"/>
        <w:gridCol w:w="1276"/>
        <w:gridCol w:w="146"/>
        <w:gridCol w:w="614"/>
        <w:gridCol w:w="402"/>
      </w:tblGrid>
      <w:tr>
        <w:tc>
          <w:tcPr>
            <w:tcW w:w="19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c>
          <w:tcPr>
            <w:tcW w:w="198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Senior Secured Notes</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Business Services</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Access CIG, LLC</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7.72% (SOFR + 4.00%), (0.50% floor) due August 19, 2030</w:t>
            </w:r>
            <w:r>
              <w:rPr>
                <w:rFonts w:ascii="Times New Roman PS Std;serif" w:hAnsi="Times New Roman PS Std;serif"/>
                <w:b w:val="false"/>
                <w:i w:val="false"/>
                <w:caps w:val="false"/>
                <w:smallCaps w:val="false"/>
                <w:sz w:val="12"/>
              </w:rPr>
              <w:t>(4)(6)(14)(23)</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15,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10,021,032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10,021,032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9,645,243</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Convergint Technologies, LLC</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9.22% (SOFR + 5.50%), (0.75% floor) due July 29, 2033</w:t>
            </w:r>
            <w:r>
              <w:rPr>
                <w:rFonts w:ascii="Times New Roman PS Std;serif" w:hAnsi="Times New Roman PS Std;serif"/>
                <w:b w:val="false"/>
                <w:i w:val="false"/>
                <w:caps w:val="false"/>
                <w:smallCaps w:val="false"/>
                <w:sz w:val="12"/>
              </w:rPr>
              <w:t>(4)(5)(14)(23)</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23,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9,950,843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10,050,000</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Verifone, Inc. </w:t>
              <w:br/>
              <w:t>(f/k/a Verifone Systems, Inc.)</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9.35% (SOFR + 5.25%), (0.00% floor) due August 18,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28,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13,162,936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12,145,783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12,471,882</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Business Services</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32,117,658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32,167,125</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22.1</w:t>
            </w:r>
          </w:p>
        </w:tc>
        <w:tc>
          <w:tcPr>
            <w:tcW w:w="4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8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Food and Beverage</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Shearer’s Foods, LLC</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6.47% (SOFR + 2.75%), (0.00% floor) due February 12, 2031</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31,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9,850,687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9,874,427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9,837,290</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Food and Beverage</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9,874,427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9,837,290</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w:t>
            </w:r>
          </w:p>
        </w:tc>
        <w:tc>
          <w:tcPr>
            <w:tcW w:w="4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8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HealthChannels, Inc. </w:t>
              <w:br/>
              <w:t>(f/k/a ScribeAmerica, LLC)</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10.25% (Prime + 3.50%) cash, 2.00% PIK, (0.00% floor) due January 12, 2026</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(3)(4)(5)(6)(26)</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31, 2018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8,833,722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8,838,455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6,360,280</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Performance Health Inc.</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7.62% (SOFR + 3.75%), (0.00% floor) due March 19, 2032</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24,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9,962,469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9,925,063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9,813,032</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Viant Medical Holdings, Inc.</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7.72% (SOFR + 4.00%), (0.00% floor) due October 29, 2031</w:t>
            </w:r>
            <w:r>
              <w:rPr>
                <w:rFonts w:ascii="Times New Roman PS Std;serif" w:hAnsi="Times New Roman PS Std;serif"/>
                <w:b w:val="false"/>
                <w:i w:val="false"/>
                <w:caps w:val="false"/>
                <w:smallCaps w:val="false"/>
                <w:sz w:val="12"/>
              </w:rPr>
              <w:t>(4)(5)(6)(23)</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16,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5,940,000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5,915,373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5,880,600</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24,678,891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22,053,912</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15.2</w:t>
            </w:r>
          </w:p>
        </w:tc>
        <w:tc>
          <w:tcPr>
            <w:tcW w:w="4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8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Industrials</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Highline Warren, LLC </w:t>
              <w:br/>
              <w:t>(f/k/a Highline Aftermarket, LLC)</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7.32% (SOFR + 3.50%), (0.75% floor) due February 19, 2030</w:t>
            </w:r>
            <w:r>
              <w:rPr>
                <w:rFonts w:ascii="Times New Roman PS Std;serif" w:hAnsi="Times New Roman PS Std;serif"/>
                <w:b w:val="false"/>
                <w:i w:val="false"/>
                <w:caps w:val="false"/>
                <w:smallCaps w:val="false"/>
                <w:sz w:val="12"/>
              </w:rPr>
              <w:t>(4)(5)(6)(16)</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13,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6,940,314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6,970,397</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Michael Baker International, Inc.</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7.84% (SOFR + 4.00%), (0.75% floor) due December 1, 2028</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9,850,500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9,893,738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9,862,813</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ProMach Inc.</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bidi w:val="0"/>
              <w:spacing w:before="0" w:after="283"/>
              <w:jc w:val="left"/>
            </w:pPr>
            <w:r>
              <w:t> </w:t>
            </w:r>
          </w:p>
        </w:tc>
        <w:tc>
          <w:tcPr>
            <w:tcW w:w="40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6.47% (SOFR + 2.75%), (0.00% floor) due October 16, 2032</w:t>
            </w:r>
            <w:r>
              <w:rPr>
                <w:rFonts w:ascii="Times New Roman PS Std;serif" w:hAnsi="Times New Roman PS Std;serif"/>
                <w:b w:val="false"/>
                <w:i w:val="false"/>
                <w:caps w:val="false"/>
                <w:smallCaps w:val="false"/>
                <w:sz w:val="12"/>
              </w:rPr>
              <w:t>(4)(5)(6)(23)</w:t>
            </w:r>
          </w:p>
        </w:tc>
        <w:tc>
          <w:tcPr>
            <w:tcW w:w="146" w:type="dxa"/>
            <w:tcBorders/>
            <w:shd w:fill="CCEEFF" w:val="clear"/>
            <w:vAlign w:val="bottom"/>
          </w:tcPr>
          <w:p>
            <w:pPr>
              <w:pStyle w:val="TableContents"/>
              <w:bidi w:val="0"/>
              <w:spacing w:before="0" w:after="283"/>
              <w:jc w:val="left"/>
            </w:pPr>
            <w:r>
              <w:t> </w:t>
            </w:r>
          </w:p>
        </w:tc>
        <w:tc>
          <w:tcPr>
            <w:tcW w:w="181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October 9,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2,992,511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3,018,750</w:t>
            </w:r>
          </w:p>
        </w:tc>
        <w:tc>
          <w:tcPr>
            <w:tcW w:w="146" w:type="dxa"/>
            <w:tcBorders/>
            <w:shd w:fill="CCEEFF" w:val="clear"/>
            <w:vAlign w:val="bottom"/>
          </w:tcPr>
          <w:p>
            <w:pPr>
              <w:pStyle w:val="TableContents"/>
              <w:bidi w:val="0"/>
              <w:spacing w:before="0" w:after="283"/>
              <w:jc w:val="left"/>
            </w:pPr>
            <w:r>
              <w:t> </w:t>
            </w:r>
          </w:p>
        </w:tc>
        <w:tc>
          <w:tcPr>
            <w:tcW w:w="614" w:type="dxa"/>
            <w:tcBorders/>
            <w:shd w:fill="CCEEFF" w:val="clear"/>
            <w:vAlign w:val="bottom"/>
          </w:tcPr>
          <w:p>
            <w:pPr>
              <w:pStyle w:val="TableContents"/>
              <w:bidi w:val="0"/>
              <w:spacing w:before="0" w:after="283"/>
              <w:jc w:val="left"/>
            </w:pPr>
            <w:r>
              <w:t> </w:t>
            </w:r>
          </w:p>
        </w:tc>
        <w:tc>
          <w:tcPr>
            <w:tcW w:w="4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8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Industrials</w:t>
            </w:r>
          </w:p>
        </w:tc>
        <w:tc>
          <w:tcPr>
            <w:tcW w:w="146" w:type="dxa"/>
            <w:tcBorders/>
            <w:vAlign w:val="bottom"/>
          </w:tcPr>
          <w:p>
            <w:pPr>
              <w:pStyle w:val="TableContents"/>
              <w:bidi w:val="0"/>
              <w:spacing w:before="0" w:after="283"/>
              <w:jc w:val="left"/>
            </w:pPr>
            <w:r>
              <w:t> </w:t>
            </w:r>
          </w:p>
        </w:tc>
        <w:tc>
          <w:tcPr>
            <w:tcW w:w="18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19,826,563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19,851,960</w:t>
            </w:r>
          </w:p>
        </w:tc>
        <w:tc>
          <w:tcPr>
            <w:tcW w:w="146" w:type="dxa"/>
            <w:tcBorders/>
            <w:vAlign w:val="bottom"/>
          </w:tcPr>
          <w:p>
            <w:pPr>
              <w:pStyle w:val="TableContents"/>
              <w:bidi w:val="0"/>
              <w:spacing w:before="0" w:after="283"/>
              <w:jc w:val="left"/>
            </w:pPr>
            <w:r>
              <w:t> </w:t>
            </w:r>
          </w:p>
        </w:tc>
        <w:tc>
          <w:tcPr>
            <w:tcW w:w="6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13.7</w:t>
            </w:r>
          </w:p>
        </w:tc>
        <w:tc>
          <w:tcPr>
            <w:tcW w:w="4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0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0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205" w:type="dxa"/>
        <w:jc w:val="left"/>
        <w:tblInd w:w="0" w:type="dxa"/>
        <w:tblLayout w:type="fixed"/>
        <w:tblCellMar>
          <w:top w:w="0" w:type="dxa"/>
          <w:left w:w="0" w:type="dxa"/>
          <w:bottom w:w="0" w:type="dxa"/>
          <w:right w:w="0" w:type="dxa"/>
        </w:tblCellMar>
      </w:tblPr>
      <w:tblGrid>
        <w:gridCol w:w="1876"/>
        <w:gridCol w:w="146"/>
        <w:gridCol w:w="1936"/>
        <w:gridCol w:w="146"/>
        <w:gridCol w:w="286"/>
        <w:gridCol w:w="1246"/>
        <w:gridCol w:w="146"/>
        <w:gridCol w:w="286"/>
        <w:gridCol w:w="1276"/>
        <w:gridCol w:w="146"/>
        <w:gridCol w:w="286"/>
        <w:gridCol w:w="1276"/>
        <w:gridCol w:w="146"/>
        <w:gridCol w:w="609"/>
        <w:gridCol w:w="398"/>
      </w:tblGrid>
      <w:tr>
        <w:tc>
          <w:tcPr>
            <w:tcW w:w="18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0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c>
          <w:tcPr>
            <w:tcW w:w="18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Materials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Veritiv Operating Company</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7.67% (SOFR + 4.00%), (0.75% floor) due November 30, 2030</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6,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8,924,736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8,920,823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8,914,562</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Materials</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8,920,823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8,914,562</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6.1</w:t>
            </w:r>
          </w:p>
        </w:tc>
        <w:tc>
          <w:tcPr>
            <w:tcW w:w="39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8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Software</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Dodge Construction Network LLC </w:t>
              <w:br/>
              <w:t>(f/k/a Dodge Data &amp; Analytics, LLC)</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10.25% (SOFR + 6.25%), (0.50% floor) due January 31, 2029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2,175,824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2,150,991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2,181,264</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8.75% (SOFR + 4.75%), (0.50% floor) due February 28, 2029</w:t>
            </w:r>
            <w:r>
              <w:rPr>
                <w:rFonts w:ascii="Times New Roman PS Std;serif" w:hAnsi="Times New Roman PS Std;serif"/>
                <w:b w:val="false"/>
                <w:i w:val="false"/>
                <w:caps w:val="false"/>
                <w:smallCaps w:val="false"/>
                <w:sz w:val="12"/>
              </w:rPr>
              <w:t>(4)(5)(6)(14)(16)</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3,017,281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2,538,618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2,413,825</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12.07% (SOFR + 8.25%) PIK, (0.50% floor) due March 31, 2029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17,015,123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9,211,125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6,806,049</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Fortra, LLC </w:t>
              <w:br/>
              <w:t>(f/k/a Help/Systems Holdings, Inc.)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9.97% (SOFR + 6.00%), (2.00% floor) due May 21, 2029</w:t>
            </w:r>
            <w:r>
              <w:rPr>
                <w:rFonts w:ascii="Times New Roman PS Std;serif" w:hAnsi="Times New Roman PS Std;serif"/>
                <w:b w:val="false"/>
                <w:i w:val="false"/>
                <w:caps w:val="false"/>
                <w:smallCaps w:val="false"/>
                <w:sz w:val="12"/>
              </w:rPr>
              <w:t>(4)(5)(14)(16)</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3,243,343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3,080,091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2,943,334</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3.97% (SOFR, 2.00% floor) cash, 9.00% PIK due May 21, 2029</w:t>
            </w:r>
            <w:r>
              <w:rPr>
                <w:rFonts w:ascii="Times New Roman PS Std;serif" w:hAnsi="Times New Roman PS Std;serif"/>
                <w:b w:val="false"/>
                <w:i w:val="false"/>
                <w:caps w:val="false"/>
                <w:smallCaps w:val="false"/>
                <w:sz w:val="12"/>
              </w:rPr>
              <w:t>(3)(4)(5)(14)(16)</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21,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8,140,000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6,496,312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5,291,000</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Magenta Buyer, LLC </w:t>
              <w:br/>
              <w:t>(f/k/a McAfee Enterprise, LLC)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first out senior secured notes, 10.85% (SOFR + 6.75%), (0.75% floor) due July 27, 2028</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234,573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215,207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180,621</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second out senior secured notes, 11.10% (SOFR + 7.00%) (0.75% floor) due July 27, 2028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1,310,350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1,010,783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576,554</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third out senior secured notes, 10.35% (SOFR + 6.25%) (0.75% floor) due July 27, 2028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10,340,152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3,767,921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2,429,936</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RSA Security, LLC</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second lien senior secured notes, 11.85% (SOFR + 7.75%), (0.75% floor) due April 27, 2029</w:t>
            </w:r>
            <w:r>
              <w:rPr>
                <w:rFonts w:ascii="Times New Roman PS Std;serif" w:hAnsi="Times New Roman PS Std;serif"/>
                <w:b w:val="false"/>
                <w:i w:val="false"/>
                <w:caps w:val="false"/>
                <w:smallCaps w:val="false"/>
                <w:sz w:val="12"/>
              </w:rPr>
              <w:t>(4)(5)(16)</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14,859,002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2,734,500</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Smartronix, LLC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8.22% (SOFR + 4.50%), (0.00% floor) due February 6, 2032</w:t>
            </w:r>
            <w:r>
              <w:rPr>
                <w:rFonts w:ascii="Times New Roman PS Std;serif" w:hAnsi="Times New Roman PS Std;serif"/>
                <w:b w:val="false"/>
                <w:i w:val="false"/>
                <w:caps w:val="false"/>
                <w:smallCaps w:val="false"/>
                <w:sz w:val="12"/>
              </w:rPr>
              <w:t>(4)(5)(6)(14)(23)</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6,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9,949,937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9,959,596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9,850,438</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Tungsten Automation Corporation </w:t>
              <w:br/>
              <w:t>(f/k/a Kofax, Inc.)</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9.19% (SOFR + 5.25%), (0.50% floor) due July 20, 2029</w:t>
            </w:r>
            <w:r>
              <w:rPr>
                <w:rFonts w:ascii="Times New Roman PS Std;serif" w:hAnsi="Times New Roman PS Std;serif"/>
                <w:b w:val="false"/>
                <w:i w:val="false"/>
                <w:caps w:val="false"/>
                <w:smallCaps w:val="false"/>
                <w:sz w:val="12"/>
              </w:rPr>
              <w:t>(4)(5)(6)(14)(16)</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February 1, 2023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9,756,431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9,287,899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8,341,749</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76"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Software</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62,577,545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43,749,270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30.1</w:t>
            </w:r>
          </w:p>
        </w:tc>
        <w:tc>
          <w:tcPr>
            <w:tcW w:w="39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fals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650" w:type="dxa"/>
        <w:jc w:val="left"/>
        <w:tblInd w:w="0" w:type="dxa"/>
        <w:tblLayout w:type="fixed"/>
        <w:tblCellMar>
          <w:top w:w="0" w:type="dxa"/>
          <w:left w:w="0" w:type="dxa"/>
          <w:bottom w:w="0" w:type="dxa"/>
          <w:right w:w="0" w:type="dxa"/>
        </w:tblCellMar>
      </w:tblPr>
      <w:tblGrid>
        <w:gridCol w:w="1976"/>
        <w:gridCol w:w="146"/>
        <w:gridCol w:w="1936"/>
        <w:gridCol w:w="146"/>
        <w:gridCol w:w="286"/>
        <w:gridCol w:w="1246"/>
        <w:gridCol w:w="146"/>
        <w:gridCol w:w="286"/>
        <w:gridCol w:w="1396"/>
        <w:gridCol w:w="146"/>
        <w:gridCol w:w="286"/>
        <w:gridCol w:w="1396"/>
        <w:gridCol w:w="146"/>
        <w:gridCol w:w="721"/>
        <w:gridCol w:w="391"/>
      </w:tblGrid>
      <w:t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Senior Secured Notes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9.52% (SOFR + 5.75%), (0.00% floor) due June 4, 2030</w:t>
            </w:r>
            <w:r>
              <w:rPr>
                <w:rFonts w:ascii="Times New Roman PS Std;serif" w:hAnsi="Times New Roman PS Std;serif"/>
                <w:b w:val="false"/>
                <w:i w:val="false"/>
                <w:caps w:val="false"/>
                <w:smallCaps w:val="false"/>
                <w:sz w:val="12"/>
              </w:rPr>
              <w:t>(4)(5)(16)</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4,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934,808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899,579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373,923</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Global Tel Link Corp.</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lien senior secured notes, 11.22% (SOFR + 7.50%), (3.00% floor) due August 6, 2029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(4)(5)(6)(14)(23)</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29,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10,379,729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10,114,431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10,305,099</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11,014,010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10,679,022</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7.3</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Senior Secured Notes</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169,009,917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147,253,141</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101.3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Collateralized Loan Obligation – Equity Investments</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Allegro CLO XII, Ltd.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13.53% due July 21,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21,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1,861,641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1,350,000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Ares XLIV CLO Ltd.</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21.10% due April 15, 2034</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15, 2023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1,333,874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877,005</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Atlas Senior Loan Fund XI, Ltd.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26, 2031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(9)(11)(12)(18)(22)(25)</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5, 2019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5,725,000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1,402,272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14,313</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Bain Capital Credit CLO 2017-2, Ltd.</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13.71% due July 25,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17,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3,086,500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1,780,067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1,111,140</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2014-2 Ltd.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20,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3, 2019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365,288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63,740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BlueMountain CLO XXXI Ltd.</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16.75% due April 19, 2034</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16,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12,075,000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7,092,735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4,226,250</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Carlyle Global Market Strategies CLO 2021-6, Ltd.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13.39% due January 15,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30, 2021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29,600,000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18,330,018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12,136,000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II CLO, Ltd.</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8.60% due July 22,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(9)(11)(12)(13)(18)(24)</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March 20, 2013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10,594,006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6,505,322</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Cedar Funding VI CLO, Ltd.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9.77% due April 20, 2034</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15, 2017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7,700,000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5,455,615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2,579,500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CIFC Funding 2014-3, Ltd.</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income notes, estimated yield 0.00% due March 31, 2038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24, 2017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1,906,343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530,000</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Dryden 43 Senior Loan Fund</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4.23% due April 20, 2034</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 2021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47,263,000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21,945,691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9,925,230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1054" w:type="dxa"/>
        <w:jc w:val="left"/>
        <w:tblInd w:w="0" w:type="dxa"/>
        <w:tblLayout w:type="fixed"/>
        <w:tblCellMar>
          <w:top w:w="0" w:type="dxa"/>
          <w:left w:w="0" w:type="dxa"/>
          <w:bottom w:w="0" w:type="dxa"/>
          <w:right w:w="0" w:type="dxa"/>
        </w:tblCellMar>
      </w:tblPr>
      <w:tblGrid>
        <w:gridCol w:w="2531"/>
        <w:gridCol w:w="146"/>
        <w:gridCol w:w="2011"/>
        <w:gridCol w:w="146"/>
        <w:gridCol w:w="286"/>
        <w:gridCol w:w="1246"/>
        <w:gridCol w:w="146"/>
        <w:gridCol w:w="286"/>
        <w:gridCol w:w="1396"/>
        <w:gridCol w:w="146"/>
        <w:gridCol w:w="286"/>
        <w:gridCol w:w="1276"/>
        <w:gridCol w:w="146"/>
        <w:gridCol w:w="609"/>
        <w:gridCol w:w="397"/>
      </w:tblGrid>
      <w:tr>
        <w:tc>
          <w:tcPr>
            <w:tcW w:w="25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PRINCIPAL </w:t>
              <w:br/>
              <w:t>AMOUNT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00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c>
          <w:tcPr>
            <w:tcW w:w="2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u w:val="single"/>
              </w:rPr>
              <w:t>Collateralized Loan Obligation – Equity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18"/>
                <w:u w:val="single"/>
              </w:rPr>
              <w:t>Investments</w:t>
            </w:r>
            <w:r>
              <w:rPr>
                <w:rFonts w:ascii="Times New Roman PS Std;serif" w:hAnsi="Times New Roman PS Std;serif"/>
                <w:b w:val="false"/>
                <w:i w:val="false"/>
                <w:caps w:val="false"/>
                <w:smallCaps w:val="false"/>
                <w:sz w:val="20"/>
              </w:rPr>
              <w:t> – </w:t>
            </w:r>
            <w:r>
              <w:rPr>
                <w:rFonts w:ascii="Times New Roman PS Std;serif" w:hAnsi="Times New Roman PS Std;serif"/>
                <w:b/>
                <w:i w:val="false"/>
                <w:caps w:val="false"/>
                <w:smallCaps w:val="false"/>
                <w:sz w:val="18"/>
              </w:rPr>
              <w:t>(continued)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Structured Finance – (continued)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Generate CLO 10, Ltd.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18.56% due January 22, 2038</w:t>
            </w:r>
            <w:r>
              <w:rPr>
                <w:rFonts w:ascii="Times New Roman PS Std;serif" w:hAnsi="Times New Roman PS Std;serif"/>
                <w:b w:val="false"/>
                <w:i w:val="false"/>
                <w:caps w:val="false"/>
                <w:smallCaps w:val="false"/>
                <w:sz w:val="12"/>
              </w:rPr>
              <w:t>(9)(11)(12)(14)(18)</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21,704,094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17,700,000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Gulf Stream Meridian 5 Ltd.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15.47% due October 15, 2039</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15, 2023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3,487,610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2,713,271</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XVIII, Ltd.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21, 2030</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(9)(11)(12)(15)(18)(22)(25)</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22, 2020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1,419,879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603,750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Madison Park Funding XIX, Ltd.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11.19% due January 22, 2037</w:t>
            </w:r>
            <w:r>
              <w:rPr>
                <w:rFonts w:ascii="Times New Roman PS Std;serif" w:hAnsi="Times New Roman PS Std;serif"/>
                <w:b w:val="false"/>
                <w:i w:val="false"/>
                <w:caps w:val="false"/>
                <w:smallCaps w:val="false"/>
                <w:sz w:val="12"/>
              </w:rPr>
              <w:t>(9)(11)(12)(18)(22)</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11, 2016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5,422,500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2,386,298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1,789,425</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OCP CLO 2024-37, Ltd.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13.01% due October 15, 2037</w:t>
            </w:r>
            <w:r>
              <w:rPr>
                <w:rFonts w:ascii="Times New Roman PS Std;serif" w:hAnsi="Times New Roman PS Std;serif"/>
                <w:b w:val="false"/>
                <w:i w:val="false"/>
                <w:caps w:val="false"/>
                <w:smallCaps w:val="false"/>
                <w:sz w:val="12"/>
              </w:rPr>
              <w:t>(9)(11)(12)(14)(18)(22)</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September 27, 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27,035,000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24,028,836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18,113,450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Octagon Investment Partners 49, Ltd.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6.21% due April 15, 2037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(9)(11)(12)(13)(14)(18)(24)</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11, 2020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26,375,000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15,732,561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7,670,797</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Reese Park CLO, Ltd.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17.42% due January 15, 2038</w:t>
            </w:r>
            <w:r>
              <w:rPr>
                <w:rFonts w:ascii="Times New Roman PS Std;serif" w:hAnsi="Times New Roman PS Std;serif"/>
                <w:b w:val="false"/>
                <w:i w:val="false"/>
                <w:caps w:val="false"/>
                <w:smallCaps w:val="false"/>
                <w:sz w:val="12"/>
              </w:rPr>
              <w:t>(9)(11)(12)(18)(22)</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16,160,000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8,497,742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6,625,600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M2 fee notes, due January 15, 2038</w:t>
            </w:r>
            <w:r>
              <w:rPr>
                <w:rFonts w:ascii="Times New Roman PS Std;serif" w:hAnsi="Times New Roman PS Std;serif"/>
                <w:b w:val="false"/>
                <w:i w:val="false"/>
                <w:caps w:val="false"/>
                <w:smallCaps w:val="false"/>
                <w:sz w:val="12"/>
              </w:rPr>
              <w:t>(11)(12)(13)(22)(24)</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13,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21,008,000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580,842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552,841</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Sound Point CLO XVI, Ltd.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25, 2030</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August 1, 2018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19,023,511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4,550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2013-3, Ltd.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17, 2026</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(9)(11)(12)(18)(22)(25)</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25, 2013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14,447,790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6,207,075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1,445</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Telos CLO 2014-5, Ltd.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17, 2028</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(9)(11)(12)(15)(18)(25)</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April 11, 2014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28,500,000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18,179,226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XX, Ltd.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April 15, 2027</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(9)(11)(12)(15)(18)(22)(25)</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July 27, 2018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332,779</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Venture 35 CLO, Limited</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October 22, 2031</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(9)(11)(12)(18)(25)</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December 7, 2020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512,144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12,500</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Zais CLO 6, Ltd.</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CLO subordinated notes, estimated yield 0.00% due July 15, 2029</w:t>
            </w:r>
            <w:r>
              <w:rPr>
                <w:rFonts w:ascii="Times New Roman PS Std;serif" w:hAnsi="Times New Roman PS Std;serif"/>
                <w:b w:val="false"/>
                <w:i w:val="false"/>
                <w:caps w:val="false"/>
                <w:smallCaps w:val="false"/>
                <w:sz w:val="20"/>
              </w:rPr>
              <w:t> </w:t>
            </w:r>
            <w:r>
              <w:rPr>
                <w:rFonts w:ascii="Times New Roman PS Std;serif" w:hAnsi="Times New Roman PS Std;serif"/>
                <w:b w:val="false"/>
                <w:i w:val="false"/>
                <w:caps w:val="false"/>
                <w:smallCaps w:val="false"/>
                <w:sz w:val="12"/>
              </w:rPr>
              <w:t>(9)(11)(12)(13)(18)(24)(25)</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3, 2017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10,500,000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5,069,347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6,129</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53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Structured Finance</w:t>
            </w:r>
          </w:p>
        </w:tc>
        <w:tc>
          <w:tcPr>
            <w:tcW w:w="146" w:type="dxa"/>
            <w:tcBorders/>
            <w:vAlign w:val="bottom"/>
          </w:tcPr>
          <w:p>
            <w:pPr>
              <w:pStyle w:val="TableContents"/>
              <w:bidi w:val="0"/>
              <w:spacing w:before="0" w:after="283"/>
              <w:jc w:val="left"/>
            </w:pPr>
            <w:r>
              <w:t> </w:t>
            </w:r>
          </w:p>
        </w:tc>
        <w:tc>
          <w:tcPr>
            <w:tcW w:w="201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199,229,494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95,112,258</w:t>
            </w:r>
          </w:p>
        </w:tc>
        <w:tc>
          <w:tcPr>
            <w:tcW w:w="146" w:type="dxa"/>
            <w:tcBorders/>
            <w:vAlign w:val="bottom"/>
          </w:tcPr>
          <w:p>
            <w:pPr>
              <w:pStyle w:val="TableContents"/>
              <w:bidi w:val="0"/>
              <w:spacing w:before="0" w:after="283"/>
              <w:jc w:val="left"/>
            </w:pPr>
            <w:r>
              <w:t> </w:t>
            </w:r>
          </w:p>
        </w:tc>
        <w:tc>
          <w:tcPr>
            <w:tcW w:w="6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65.4</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2531" w:type="dxa"/>
            <w:tcBorders/>
            <w:shd w:fill="CCEEFF" w:val="clear"/>
            <w:vAlign w:val="bottom"/>
          </w:tcPr>
          <w:p>
            <w:pPr>
              <w:pStyle w:val="TableContents"/>
              <w:keepNext w:val="false"/>
              <w:widowControl/>
              <w:pBdr/>
              <w:bidi w:val="0"/>
              <w:spacing w:before="0" w:after="283"/>
              <w:ind w:left="10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Collateralized Loan Obligation – Equity Investments</w:t>
            </w:r>
          </w:p>
        </w:tc>
        <w:tc>
          <w:tcPr>
            <w:tcW w:w="146" w:type="dxa"/>
            <w:tcBorders/>
            <w:shd w:fill="CCEEFF" w:val="clear"/>
            <w:vAlign w:val="bottom"/>
          </w:tcPr>
          <w:p>
            <w:pPr>
              <w:pStyle w:val="TableContents"/>
              <w:bidi w:val="0"/>
              <w:spacing w:before="0" w:after="283"/>
              <w:jc w:val="left"/>
            </w:pPr>
            <w:r>
              <w:t> </w:t>
            </w:r>
          </w:p>
        </w:tc>
        <w:tc>
          <w:tcPr>
            <w:tcW w:w="20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199,229,494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2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95,112,258</w:t>
            </w:r>
          </w:p>
        </w:tc>
        <w:tc>
          <w:tcPr>
            <w:tcW w:w="146" w:type="dxa"/>
            <w:tcBorders/>
            <w:shd w:fill="CCEEFF" w:val="clear"/>
            <w:vAlign w:val="bottom"/>
          </w:tcPr>
          <w:p>
            <w:pPr>
              <w:pStyle w:val="TableContents"/>
              <w:bidi w:val="0"/>
              <w:spacing w:before="0" w:after="283"/>
              <w:jc w:val="left"/>
            </w:pPr>
            <w:r>
              <w:t> </w:t>
            </w:r>
          </w:p>
        </w:tc>
        <w:tc>
          <w:tcPr>
            <w:tcW w:w="6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65.4</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tbl>
      <w:tblPr>
        <w:tblW w:w="10364" w:type="dxa"/>
        <w:jc w:val="left"/>
        <w:tblInd w:w="0" w:type="dxa"/>
        <w:tblLayout w:type="fixed"/>
        <w:tblCellMar>
          <w:top w:w="0" w:type="dxa"/>
          <w:left w:w="0" w:type="dxa"/>
          <w:bottom w:w="0" w:type="dxa"/>
          <w:right w:w="0" w:type="dxa"/>
        </w:tblCellMar>
      </w:tblPr>
      <w:tblGrid>
        <w:gridCol w:w="1976"/>
        <w:gridCol w:w="146"/>
        <w:gridCol w:w="1936"/>
        <w:gridCol w:w="146"/>
        <w:gridCol w:w="1246"/>
        <w:gridCol w:w="146"/>
        <w:gridCol w:w="286"/>
        <w:gridCol w:w="1396"/>
        <w:gridCol w:w="146"/>
        <w:gridCol w:w="286"/>
        <w:gridCol w:w="1396"/>
        <w:gridCol w:w="146"/>
        <w:gridCol w:w="721"/>
        <w:gridCol w:w="391"/>
      </w:tblGrid>
      <w:tr>
        <w:tc>
          <w:tcPr>
            <w:tcW w:w="19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COMPANY/INVESTMENT</w:t>
            </w:r>
            <w:r>
              <w:rPr>
                <w:rFonts w:ascii="Times New Roman PS Std;serif" w:hAnsi="Times New Roman PS Std;serif"/>
                <w:b/>
                <w:i w:val="false"/>
                <w:caps w:val="false"/>
                <w:smallCaps w:val="false"/>
                <w:sz w:val="12"/>
              </w:rPr>
              <w:t>(1)(20)</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ACQUISITION </w:t>
              <w:br/>
              <w:t>DATE</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COST</w:t>
            </w:r>
          </w:p>
        </w:tc>
        <w:tc>
          <w:tcPr>
            <w:tcW w:w="146" w:type="dxa"/>
            <w:tcBorders/>
            <w:vAlign w:val="bottom"/>
          </w:tcPr>
          <w:p>
            <w:pPr>
              <w:pStyle w:val="TableContents"/>
              <w:bidi w:val="0"/>
              <w:spacing w:before="0" w:after="283"/>
              <w:jc w:val="left"/>
            </w:pPr>
            <w:r>
              <w:t> </w:t>
            </w:r>
          </w:p>
        </w:tc>
        <w:tc>
          <w:tcPr>
            <w:tcW w:w="168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FAIR </w:t>
              <w:br/>
              <w:t>VALUE</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pPr>
            <w: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 OF </w:t>
              <w:br/>
              <w:t xml:space="preserve">NET </w:t>
              <w:br/>
              <w:t>ASSETS</w:t>
            </w:r>
            <w:r>
              <w:rPr>
                <w:rFonts w:ascii="Times New Roman PS Std;serif" w:hAnsi="Times New Roman PS Std;serif"/>
                <w:b/>
                <w:i w:val="false"/>
                <w:caps w:val="false"/>
                <w:smallCaps w:val="false"/>
                <w:sz w:val="12"/>
              </w:rPr>
              <w:t>(10)</w:t>
            </w:r>
          </w:p>
        </w:tc>
      </w:tr>
      <w:t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Common Stock</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January 13, 2015</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1,244,188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684,960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684,960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Telecommunication Services</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ConvergeOne Holdings, Inc.</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May 8, 2024</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95,775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1,349,602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359,156</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Telecommunication Services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1,349,602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359,156</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Common Stock</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2,034,562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359,156</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0.2</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Simple Agreements for Future Equity (“SAFE”)</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Artificial Intelligence</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Infinity Constellation Inc.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SAFE Investment</w:t>
            </w:r>
            <w:r>
              <w:rPr>
                <w:rFonts w:ascii="Times New Roman PS Std;serif" w:hAnsi="Times New Roman PS Std;serif"/>
                <w:b w:val="false"/>
                <w:i w:val="false"/>
                <w:caps w:val="false"/>
                <w:smallCaps w:val="false"/>
                <w:sz w:val="12"/>
              </w:rPr>
              <w:t>(7)(27)</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November 25, 2025</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rPr>
                <w:sz w:val="18"/>
              </w:rPr>
            </w:pPr>
            <w:r>
              <w:rPr>
                <w:sz w:val="18"/>
              </w:rPr>
              <w:t>N/A</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4,000,000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Artificial Intelligence</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SAFE</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4,000,000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2.8</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Warrants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Healthcare</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Careismatic Brands, Inc. </w:t>
              <w:br/>
              <w:t>(f/k/a New Trojan Parent, Inc.)</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common equity warrants (June 13, 2029 expiry, $119.80 strike)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13, 2024</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62,157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Healthcare</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bidi w:val="0"/>
              <w:spacing w:before="0" w:after="283"/>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Warrants</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bidi w:val="0"/>
              <w:spacing w:before="0" w:after="283"/>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0.0</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Preferred Stock</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IT Consulting</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UniTek Global Services, Inc.</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Preferred Stock</w:t>
            </w:r>
            <w:r>
              <w:rPr>
                <w:rFonts w:ascii="Times New Roman PS Std;serif" w:hAnsi="Times New Roman PS Std;serif"/>
                <w:b w:val="false"/>
                <w:i w:val="false"/>
                <w:caps w:val="false"/>
                <w:smallCaps w:val="false"/>
                <w:sz w:val="12"/>
              </w:rPr>
              <w:t>(17)</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21,427,212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9,002,159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Senior Preferred Stock</w:t>
            </w:r>
            <w:r>
              <w:rPr>
                <w:rFonts w:ascii="Times New Roman PS Std;serif" w:hAnsi="Times New Roman PS Std;serif"/>
                <w:b w:val="false"/>
                <w:i w:val="false"/>
                <w:caps w:val="false"/>
                <w:smallCaps w:val="false"/>
                <w:sz w:val="12"/>
              </w:rPr>
              <w:t>(17)</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12,080,847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4,535,443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Series B Super Senior Preferred Stock</w:t>
            </w:r>
            <w:r>
              <w:rPr>
                <w:rFonts w:ascii="Times New Roman PS Std;serif" w:hAnsi="Times New Roman PS Std;serif"/>
                <w:b w:val="false"/>
                <w:i w:val="false"/>
                <w:caps w:val="false"/>
                <w:smallCaps w:val="false"/>
                <w:sz w:val="12"/>
              </w:rPr>
              <w:t>(3)(17)(21)</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June 26, 2019</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7,863,657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2,592,024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5,006,790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IT Consulting</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5,006,790</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vAlign w:val="bottom"/>
          </w:tcPr>
          <w:p>
            <w:pPr>
              <w:pStyle w:val="TableContents"/>
              <w:keepNext w:val="false"/>
              <w:widowControl/>
              <w:pBdr/>
              <w:bidi w:val="0"/>
              <w:spacing w:before="0" w:after="283"/>
              <w:ind w:left="10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Preferred Stock</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16,129,626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5,006,790</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3.4</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Total Investments in Securities</w:t>
            </w:r>
            <w:r>
              <w:rPr>
                <w:rFonts w:ascii="Times New Roman PS Std;serif" w:hAnsi="Times New Roman PS Std;serif"/>
                <w:b/>
                <w:i w:val="false"/>
                <w:caps w:val="false"/>
                <w:smallCaps w:val="false"/>
                <w:sz w:val="12"/>
              </w:rPr>
              <w:t>(8)</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390,403,599</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251,731,345</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173.1</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u w:val="single"/>
              </w:rPr>
            </w:pPr>
            <w:r>
              <w:rPr>
                <w:rFonts w:ascii="Times New Roman PS Std;serif" w:hAnsi="Times New Roman PS Std;serif"/>
                <w:b/>
                <w:i w:val="false"/>
                <w:caps w:val="false"/>
                <w:smallCaps w:val="false"/>
                <w:sz w:val="18"/>
                <w:u w:val="single"/>
              </w:rPr>
              <w:t>Cash Equivalents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bidi w:val="0"/>
              <w:spacing w:before="0" w:after="283"/>
              <w:jc w:val="left"/>
            </w:pPr>
            <w:r>
              <w:t> </w:t>
            </w:r>
          </w:p>
        </w:tc>
        <w:tc>
          <w:tcPr>
            <w:tcW w:w="39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shd w:fill="CCEEFF" w:val="clear"/>
            <w:vAlign w:val="bottom"/>
          </w:tcPr>
          <w:p>
            <w:pPr>
              <w:pStyle w:val="TableContents"/>
              <w:keepNext w:val="false"/>
              <w:widowControl/>
              <w:pBdr/>
              <w:bidi w:val="0"/>
              <w:spacing w:before="0" w:after="283"/>
              <w:ind w:left="6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First American Government Obligations Fund – Class Z Shares, 3.64%</w:t>
            </w:r>
            <w:r>
              <w:rPr>
                <w:rFonts w:ascii="Times New Roman PS Std;serif" w:hAnsi="Times New Roman PS Std;serif"/>
                <w:b w:val="false"/>
                <w:i w:val="false"/>
                <w:caps w:val="false"/>
                <w:smallCaps w:val="false"/>
                <w:sz w:val="12"/>
              </w:rPr>
              <w:t>(19)</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51,236,068</w:t>
            </w:r>
          </w:p>
        </w:tc>
        <w:tc>
          <w:tcPr>
            <w:tcW w:w="146" w:type="dxa"/>
            <w:tcBorders/>
            <w:shd w:fill="CCEEFF" w:val="clear"/>
            <w:vAlign w:val="bottom"/>
          </w:tcPr>
          <w:p>
            <w:pPr>
              <w:pStyle w:val="TableContents"/>
              <w:bidi w:val="0"/>
              <w:spacing w:before="0" w:after="283"/>
              <w:jc w:val="left"/>
            </w:pPr>
            <w:r>
              <w:t> </w:t>
            </w:r>
          </w:p>
        </w:tc>
        <w:tc>
          <w:tcPr>
            <w:tcW w:w="721" w:type="dxa"/>
            <w:tcBorders/>
            <w:shd w:fill="CCEEFF" w:val="clear"/>
            <w:vAlign w:val="bottom"/>
          </w:tcPr>
          <w:p>
            <w:pPr>
              <w:pStyle w:val="TableContents"/>
              <w:bidi w:val="0"/>
              <w:spacing w:before="0" w:after="283"/>
              <w:jc w:val="left"/>
            </w:pPr>
            <w:r>
              <w:t> </w:t>
            </w:r>
          </w:p>
        </w:tc>
        <w:tc>
          <w:tcPr>
            <w:tcW w:w="39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976" w:type="dxa"/>
            <w:tcBorders/>
            <w:vAlign w:val="bottom"/>
          </w:tcPr>
          <w:p>
            <w:pPr>
              <w:pStyle w:val="TableContents"/>
              <w:keepNext w:val="false"/>
              <w:widowControl/>
              <w:pBdr/>
              <w:bidi w:val="0"/>
              <w:spacing w:before="0" w:after="283"/>
              <w:ind w:left="8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 Cash Equivalents</w:t>
            </w:r>
          </w:p>
        </w:tc>
        <w:tc>
          <w:tcPr>
            <w:tcW w:w="146" w:type="dxa"/>
            <w:tcBorders/>
            <w:vAlign w:val="bottom"/>
          </w:tcPr>
          <w:p>
            <w:pPr>
              <w:pStyle w:val="TableContents"/>
              <w:bidi w:val="0"/>
              <w:spacing w:before="0" w:after="283"/>
              <w:jc w:val="left"/>
            </w:pPr>
            <w:r>
              <w:t> </w:t>
            </w:r>
          </w:p>
        </w:tc>
        <w:tc>
          <w:tcPr>
            <w:tcW w:w="193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24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51,236,068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51,236,068</w:t>
            </w:r>
          </w:p>
        </w:tc>
        <w:tc>
          <w:tcPr>
            <w:tcW w:w="146" w:type="dxa"/>
            <w:tcBorders/>
            <w:vAlign w:val="bottom"/>
          </w:tcPr>
          <w:p>
            <w:pPr>
              <w:pStyle w:val="TableContents"/>
              <w:bidi w:val="0"/>
              <w:spacing w:before="0" w:after="283"/>
              <w:jc w:val="left"/>
            </w:pPr>
            <w: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35.2</w:t>
            </w:r>
          </w:p>
        </w:tc>
        <w:tc>
          <w:tcPr>
            <w:tcW w:w="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c>
          <w:tcPr>
            <w:tcW w:w="1976"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Investments in Securities and Cash </w:t>
              <w:br/>
              <w:t>Equivalents</w:t>
            </w:r>
          </w:p>
        </w:tc>
        <w:tc>
          <w:tcPr>
            <w:tcW w:w="146" w:type="dxa"/>
            <w:tcBorders/>
            <w:shd w:fill="CCEEFF" w:val="clear"/>
            <w:vAlign w:val="bottom"/>
          </w:tcPr>
          <w:p>
            <w:pPr>
              <w:pStyle w:val="TableContents"/>
              <w:bidi w:val="0"/>
              <w:spacing w:before="0" w:after="283"/>
              <w:jc w:val="left"/>
            </w:pPr>
            <w:r>
              <w:t> </w:t>
            </w:r>
          </w:p>
        </w:tc>
        <w:tc>
          <w:tcPr>
            <w:tcW w:w="193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441,639,667</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302,967,413</w:t>
            </w:r>
          </w:p>
        </w:tc>
        <w:tc>
          <w:tcPr>
            <w:tcW w:w="146" w:type="dxa"/>
            <w:tcBorders/>
            <w:shd w:fill="CCEEFF" w:val="clear"/>
            <w:vAlign w:val="bottom"/>
          </w:tcPr>
          <w:p>
            <w:pPr>
              <w:pStyle w:val="TableContents"/>
              <w:bidi w:val="0"/>
              <w:spacing w:before="0" w:after="283"/>
              <w:jc w:val="left"/>
            </w:pPr>
            <w:r>
              <w:t> </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208.3</w:t>
            </w:r>
          </w:p>
        </w:tc>
        <w:tc>
          <w:tcPr>
            <w:tcW w:w="3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Company generally acquires its investments in transactions not subject to registration under the Securities Act of 1933, as amended (the “Securities Act”). These investments are generally subject to restrictions as “restricted securities” (within the meaning of the Securities Act). Unless otherwise noted, all securities were acquired in transactions not subject to registration under the Securities Act.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Fair value is determined in good faith by the Board of Directors of the Company.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As of December 31, 2025, the portfolio includes approximately $34.0 million in principal amount of debt investments and 7,863,657 shares of preferred stock investments which contain an active payment-in-kind (“PIK”) provision.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Notes bear interest at variable rates and are subject to an interest rate floor where disclosed. The rate disclosed is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Cost value reflects accretion of original issue discount or market discount, or amortization of premium.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Cost value reflects repayment of principal.</w:t>
      </w:r>
    </w:p>
    <w:p>
      <w:pPr>
        <w:pStyle w:val="TextBody"/>
        <w:keepNext w:val="true"/>
        <w:pageBreakBefore w:val="false"/>
        <w:widowControl/>
        <w:pBdr/>
        <w:bidi w:val="0"/>
        <w:spacing w:before="16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(continued on next page)</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OF INVESTMENTS — (continued)</w:t>
        <w:br/>
        <w:t>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Non-income producing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Aggregate gross unrealized appreciation for U.S. federal income tax purposes is $3,199,699; aggregate gross unrealized depreciation for U.S. federal income tax purposes is $147,160,305. Net unrealized depreciation is $143,960,606 based upon an estimated tax cost basis of $395,691,951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Cost reflects accretion of effective yield less any cash distributions received or entitled to be received from collateralized loan obligation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Indicates assets that the Company believes do not represent “qualifying assets” under Section 55(a) of the Investment Company Act of 1940, as amended (the “1940 Act”). The Company may include CLO equity side letter related investments within CLO equity subordinated notes line items, and those side letter related investments may represent qualifying assets under Section 55(a) of the 1940 Act. Qualifying assets must represent at least 70% of the Company’s total assets at the time of acquisition of any additional non-qualifying assets. As of December 31, 2025, the Company held qualifying assets that represented 68.8% of its total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    Investment not domiciled in the United States.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    Fair value includes the Company’s interest in subordinated fee notes and represents discounted cash flows associated with fees earned from CLO equity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    Aggregate investments represent greater than 5% of net assets.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    The CLO equity investment was optionally redeemed. Expected value of residual distributions, once received, is anticipated to be recognized as return of capital, pending any remaining amortized cost, and/or realized gain for any amounts received in excess of such amortized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(16)    The principal balance outstanding for this investment, in whole or in part, is indexed to 90-day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    As of December 31, 2025, this preferred equity investment was on non-accrual status and no dividend income has been recognized on this investment during the year ended December 31, 2025. The aggregate fair value of these investments was approximately $5.0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    The CLO subordinated notes and income notes are considered equity positions in CLO vehicles. Equity investments are entitled to recurring distributions which are generally equal to the remaining cash flow of the payments made by the underlying fund’s securities less contractual payments to debt holders and fund expenses. The estimated yield indicated is based on the prior quarters ending investment cost (for previously existing portfolio investments) or the original cost for those investments made during the current quarter, as well as, a current projection of the future cash flows. Such projections are periodically reviewed and adjusted, and the estimated yield may not ultimately be realized.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    Represents cash equivalents held in a money market fund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(20)    The fair value of the investment was determined using significant unobservable inputs. See “Note 3.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    The Company holds preferred stock in UniTek Global Services, Inc. that is entitled to receive cumulative preferential dividends at a rate of 20.0% per annum payable in additional shares.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(22)    The investment is co-invested with the Company’s affiliates. See “Note 7. Related Party Transactions.”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(23)    The principal balance outstanding for this investment, in whole or in part, is indexed to 30-day SOFR.</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    Cost value reflects amortization.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    As of December 31, 2025, the effective yield has been estimated to be 0%. The aggregate projected amount of future recurring distributions and terminal principal payment is less than the amortized investment cost.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    The principal balance outstanding for this investment is indexed to the greater of: (i) the federal funds rate, plus 0.50%; (ii) the prime lending rate; or (iii) the adjusted eurocurrency rate, plus 1.00%. The principal balance outstanding is also subject to a 2.00% annual PIK penalty, as the senior secured notes are past maturity.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(27)    The Company’s SAFE investment in Infinity Constellation Inc. is not debt (no stated interest or maturity) and provides the right to receive equity in the future upon a qualifying equity financing.</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 w:name="T99506"/>
      <w:bookmarkEnd w:id="6"/>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OPERATIONS</w:t>
        <w:br/>
        <w:t>(Unaudited)</w:t>
      </w:r>
    </w:p>
    <w:tbl>
      <w:tblPr>
        <w:tblW w:w="10972" w:type="dxa"/>
        <w:jc w:val="left"/>
        <w:tblInd w:w="0" w:type="dxa"/>
        <w:tblLayout w:type="fixed"/>
        <w:tblCellMar>
          <w:top w:w="0" w:type="dxa"/>
          <w:left w:w="0" w:type="dxa"/>
          <w:bottom w:w="0" w:type="dxa"/>
          <w:right w:w="0" w:type="dxa"/>
        </w:tblCellMar>
      </w:tblPr>
      <w:tblGrid>
        <w:gridCol w:w="2981"/>
        <w:gridCol w:w="146"/>
        <w:gridCol w:w="286"/>
        <w:gridCol w:w="1366"/>
        <w:gridCol w:w="241"/>
        <w:gridCol w:w="146"/>
        <w:gridCol w:w="286"/>
        <w:gridCol w:w="1246"/>
        <w:gridCol w:w="241"/>
        <w:gridCol w:w="146"/>
        <w:gridCol w:w="286"/>
        <w:gridCol w:w="1321"/>
        <w:gridCol w:w="241"/>
        <w:gridCol w:w="146"/>
        <w:gridCol w:w="286"/>
        <w:gridCol w:w="1321"/>
        <w:gridCol w:w="286"/>
      </w:tblGrid>
      <w:tr>
        <w:tc>
          <w:tcPr>
            <w:tcW w:w="29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September 30, </w:t>
              <w:br/>
              <w:t>2025</w:t>
            </w:r>
          </w:p>
        </w:tc>
        <w:tc>
          <w:tcPr>
            <w:tcW w:w="146" w:type="dxa"/>
            <w:tcBorders/>
            <w:vAlign w:val="bottom"/>
          </w:tcPr>
          <w:p>
            <w:pPr>
              <w:pStyle w:val="TableContents"/>
              <w:bidi w:val="0"/>
              <w:spacing w:before="0" w:after="283"/>
              <w:jc w:val="left"/>
            </w:pPr>
            <w: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2025</w:t>
            </w:r>
          </w:p>
        </w:tc>
      </w:tr>
      <w:tr>
        <w:tc>
          <w:tcPr>
            <w:tcW w:w="2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non-affiliated/non-control investments: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 debt investments(1)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4,688,883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4,456,544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13,543,422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13,511,141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 debt investments – payment-in-kind (“PIK”)(1)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944,668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705,534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2,628,190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2,271,142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3,623,609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4,298,003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10,356,553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12,109,128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649,471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779,852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1,723,237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2,031,753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 income from non-affiliated/non-control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9,906,631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10,239,933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28,251,402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29,923,164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 income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9,906,631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10,239,933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28,251,402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29,923,164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EXPENSES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2,796,502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2,559,400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8,381,637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6,447,732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1,029,470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1,053,566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2,981,744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3,148,663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364,954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351,582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1,153,068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1,119,285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297,901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254,096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776,994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721,969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504,166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357,769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1,175,575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1,073,155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Excise tax</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104,778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(419,110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250,179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 before incentive fees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4,992,993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4,681,191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14,049,908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12,760,983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Incentive Fees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incentive fees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pPr>
            <w: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4,992,993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4,681,191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14,049,908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12,760,983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4,913,638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5,558,742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14,201,494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17,162,181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UNREALIZED APPRECIATION/(DEPRECIATION) AND NET REALIZED LOSSES ON INVESTMENT TRANSACTIONS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9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Non-affiliated/non-control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7,926,223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(7,497,769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13,061,835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(8,311,530</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change in unrealized appreciation/(depreciation) on investments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7,926,223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(7,497,769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13,061,835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(8,311,530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Non-affiliated/non-control investments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(11,275,801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(32,797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(47,230,540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(14,512,854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Extinguishment of debt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(120,339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(166,118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net realized losses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(11,275,801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(47,230,540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(14,678,972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and realized losses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(3,349,578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(7,650,905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(34,168,705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(22,990,502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1,564,060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(2,092,163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(19,967,211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(5,828,321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net investment income per common share (Basic and Diluted):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 per common share (Basic and Diluted):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shares of common stock outstanding (Basic and Diluted):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111,280,920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79,362,161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99,695,097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74,231,017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9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1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 w:name="T99507"/>
      <w:bookmarkEnd w:id="7"/>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CHANGES IN NET ASSETS</w:t>
        <w:br/>
        <w:t>(Unaudited)</w:t>
      </w:r>
    </w:p>
    <w:tbl>
      <w:tblPr>
        <w:tblW w:w="10205" w:type="dxa"/>
        <w:jc w:val="left"/>
        <w:tblInd w:w="0" w:type="dxa"/>
        <w:tblLayout w:type="fixed"/>
        <w:tblCellMar>
          <w:top w:w="0" w:type="dxa"/>
          <w:left w:w="0" w:type="dxa"/>
          <w:bottom w:w="0" w:type="dxa"/>
          <w:right w:w="0" w:type="dxa"/>
        </w:tblCellMar>
      </w:tblPr>
      <w:tblGrid>
        <w:gridCol w:w="2004"/>
        <w:gridCol w:w="146"/>
        <w:gridCol w:w="286"/>
        <w:gridCol w:w="1366"/>
        <w:gridCol w:w="241"/>
        <w:gridCol w:w="146"/>
        <w:gridCol w:w="286"/>
        <w:gridCol w:w="1366"/>
        <w:gridCol w:w="241"/>
        <w:gridCol w:w="146"/>
        <w:gridCol w:w="286"/>
        <w:gridCol w:w="1366"/>
        <w:gridCol w:w="241"/>
        <w:gridCol w:w="146"/>
        <w:gridCol w:w="286"/>
        <w:gridCol w:w="1366"/>
        <w:gridCol w:w="286"/>
      </w:tblGrid>
      <w:tr>
        <w:tc>
          <w:tcPr>
            <w:tcW w:w="200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September 30, </w:t>
              <w:br/>
              <w:t>2025</w:t>
            </w:r>
          </w:p>
        </w:tc>
        <w:tc>
          <w:tcPr>
            <w:tcW w:w="146" w:type="dxa"/>
            <w:tcBorders/>
            <w:vAlign w:val="bottom"/>
          </w:tcPr>
          <w:p>
            <w:pPr>
              <w:pStyle w:val="TableContents"/>
              <w:bidi w:val="0"/>
              <w:spacing w:before="0" w:after="283"/>
              <w:jc w:val="left"/>
            </w:pPr>
            <w: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9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2025</w:t>
            </w:r>
          </w:p>
        </w:tc>
      </w:tr>
      <w:t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Increase/(decrease) in net assets from operations: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4,913,638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5,558,742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14,201,494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17,162,181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7,926,223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(7,497,769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13,061,835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(8,311,530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(11,275,801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(153,136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(47,230,540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(14,678,972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1,564,060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(2,092,163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(19,967,211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(5,828,321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to stockholders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from net investment income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(11,747,480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(8,339,091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(23,397,217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 of capital distributions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bidi w:val="0"/>
              <w:spacing w:before="0" w:after="283"/>
              <w:jc w:val="right"/>
            </w:pPr>
            <w: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 to stockholders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(11,747,480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(8,339,091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(31,530,214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(23,397,217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00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transactions: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Issuance of common stock (net of offering costs and underwriting fees of $268,787, $155,516, $764,435, and $463,237, respectively)</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19,384,679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11,815,490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49,479,790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26,905,347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Reinvestment of distributions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1,149,829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148,194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1,991,866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609,857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vAlign w:val="bottom"/>
          </w:tcPr>
          <w:p>
            <w:pPr>
              <w:pStyle w:val="TableContents"/>
              <w:keepNext w:val="false"/>
              <w:widowControl/>
              <w:pBdr/>
              <w:bidi w:val="0"/>
              <w:spacing w:before="0" w:after="283"/>
              <w:ind w:left="4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from capital share transactions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20,534,508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11,963,684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51,471,656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27,515,204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increase/(decrease) in net assets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10,351,088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1,532,430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(1,710,334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beginning of period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135,027,945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157,422,716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145,404,802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160,665,480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145,379,033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158,955,146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145,379,033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158,955,146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 share activity:</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14,077,235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5,363,530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32,515,131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11,648,174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issued from reinvestment of distributions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913,061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69,140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1,472,443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262,296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00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capital share activity</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14,990,296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5,432,670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33,987,574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11,910,470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8" w:name="T99508"/>
      <w:bookmarkEnd w:id="8"/>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STATEMENTS OF CASH FLOWS</w:t>
        <w:br/>
        <w:t>(Unaudited)</w:t>
      </w:r>
    </w:p>
    <w:tbl>
      <w:tblPr>
        <w:tblW w:w="10205" w:type="dxa"/>
        <w:jc w:val="left"/>
        <w:tblInd w:w="0" w:type="dxa"/>
        <w:tblLayout w:type="fixed"/>
        <w:tblCellMar>
          <w:top w:w="0" w:type="dxa"/>
          <w:left w:w="0" w:type="dxa"/>
          <w:bottom w:w="0" w:type="dxa"/>
          <w:right w:w="0" w:type="dxa"/>
        </w:tblCellMar>
      </w:tblPr>
      <w:tblGrid>
        <w:gridCol w:w="6172"/>
        <w:gridCol w:w="146"/>
        <w:gridCol w:w="286"/>
        <w:gridCol w:w="1321"/>
        <w:gridCol w:w="241"/>
        <w:gridCol w:w="146"/>
        <w:gridCol w:w="286"/>
        <w:gridCol w:w="1321"/>
        <w:gridCol w:w="286"/>
      </w:tblGrid>
      <w:tr>
        <w:tc>
          <w:tcPr>
            <w:tcW w:w="617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89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2025</w:t>
            </w:r>
          </w:p>
        </w:tc>
      </w:tr>
      <w:t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OPERATING ACTIVITIES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(19,967,211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(5,828,321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decrease in net assets resulting from operations to net cash used in operating activities: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 on investments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(3,260,047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(2,032,425</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 on notes payable and deferred debt issuance costs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716,168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516,679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(2,628,190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(2,402,122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 of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(56,657,780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(86,179,314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of principal</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11,194,451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40,213,664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the sale of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10,742,669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47,230,540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14,512,854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Extinguishment of debt(1)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166,118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8,722,462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5,187,956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(13,061,835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8,311,530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(Increase)/decrease in interest and distributions receivable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(325,149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495,369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other assets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(86,168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(24,907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accrued interest payable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402,399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 in Base Fee and Net Investment Income Incentive Fee payable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(6,588</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(162,398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(Decrease)/increase in accrued expenses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(235,235</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634,067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(28,364,582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(15,446,182</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FLOWS FROM FINANCING ACTIVITIES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paid (net of stock issued under distribution reinvestment plan of $1,991,866 and $609,857, respectively)</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(29,538,348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(22,706,396</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common stock</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50,244,225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27,368,584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fees and offering costs for the issuance of common stock</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(764,435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(463,237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7.75% Unsecured Notes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74,750,000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debt issuance costs paid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(2,850,450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Principal repayment of 6.25% Unsecured Notes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(44,790,750</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19,941,442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31,307,751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(decrease)/increase in cash and cash equivalents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(8,423,140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15,861,569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51,934,647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34,926,468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43,511,507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50,788,037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NON-CASH FINANCING ACTIVITIES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Value of shares issued in connection with distribution reinvestment plan</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1,991,866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609,857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SUPPLEMENTAL DISCLOSURES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interest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7,665,469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5,528,654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purchased, not settled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5,834,523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bidi w:val="0"/>
              <w:spacing w:before="0" w:after="283"/>
              <w:jc w:val="right"/>
            </w:pPr>
            <w: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17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paid for excise tax</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419,110</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notes are an integral part of these unaudited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9" w:name="T99509"/>
      <w:bookmarkEnd w:id="9"/>
      <w:r>
        <w:rPr>
          <w:rFonts w:ascii="Times New Roman PS Std;serif" w:hAnsi="Times New Roman PS Std;serif"/>
          <w:b/>
          <w:i w:val="false"/>
          <w:caps w:val="false"/>
          <w:smallCaps w:val="false"/>
          <w:sz w:val="20"/>
        </w:rPr>
        <w:t xml:space="preserve">OXFORD SQUARE CAPITAL CORP. </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 UNAUDITED INTERIM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Interim financial statements of Oxford Square Capital Corp. (“OXSQ” or the “Company”), are prepared in accordance with generally accepted accounting principles in the United States of America (“GAAP”) for interim financial information and pursuant to the requirements for reporting on Form 10-Q and Articles 6, 10 and 12 of Regulation S-X. Accordingly, certain disclosures accompanying annual financial statements prepared in accordance with GAAP are omitted. In the opinion of management, the unaudited financial results included herein contain all adjustments, consisting solely of normal accruals, considered necessary for the fair statement of the results for the interim period included herein. The current period’s results of operations are not necessarily indicative of results that may be achieved for the year. The interim financial statements and notes thereto should be read in conjunction with the financial statements and notes thereto included in the Company’s Annual Report on Form 10-K for the year ended December 31, 2025, as filed with the Securities and Exchange Commission (“SEC”) on March 6, 2026.</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2. ORGANIZATION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was incorporated under the General Corporation Laws of the State of Maryland (“MGCL”) on July 21, 2003 and is a closed-end investment company. The Company has elected to be regulated as a business development company (“BDC”) under the 1940 Act. In addition, the Company has elected to be treated for tax purposes as a regulated investment company (“RIC”), under Subchapter M of the Internal Revenue Code of 1986, as amended (the “Code”) beginning with its 2003 taxable year. The Company’s investment objective is to maximize its total return, by investing primarily in corporate debt securities and, to a lesser extent, CLOs, which are structured finance investments that own corporate debt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investment activities are managed by Oxford Square Management, LLC (“Oxford Square Management”). Oxford Square Management is an investment adviser registered under the Investment Advisers Act of 1940, as amended (the “Advisers Act”). Oxford Square Management is owned by Oxford Funds, LLC (“Oxford Funds”), its managing member, and Charles M. Royce, a member of the Company’s Board of Directors (the “Board” or “Board of Directors”) who holds a minority, non-controlling interest in Oxford Square Management. Under the investment advisory agreement with Oxford Square Management (the “Investment Advisory Agreement”), the Company has agreed to pay Oxford Square Management an annual base investment advisory fee (the “Base Fee”) based on its gross assets as well as an incentive fee based on its performance. For further details, please refer to “Note 7. Related Party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8, 2026, the Company filed an Articles of Amendment (the “Articles of Amendment”) to its charter with the State Department of Assessments and Taxation of Maryland (“SDAT”) to increase the total number of authorized shares of capital stock of the Company from 100,000,000 shares to 300,000,000 shares, initially consisting of 300,000,000 shares of common stock, par value $0.01 per share. The Articles of Amendment became immediately effective upon filing.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OF PRESENTATION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follows the accounting and reporting guidance in Financial Accounting Standards Board (“FASB”) Accounting Standards Codification (“ASC”) Topic 946, </w:t>
      </w:r>
      <w:r>
        <w:rPr>
          <w:rFonts w:ascii="Times New Roman PS Std;serif" w:hAnsi="Times New Roman PS Std;serif"/>
          <w:b w:val="false"/>
          <w:i/>
          <w:caps w:val="false"/>
          <w:smallCaps w:val="false"/>
          <w:sz w:val="20"/>
        </w:rPr>
        <w:t>Financial Services — Investment Companies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USE OF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financial statements have been prepared in accordance with GAAP, which requires management to make estimates and assumptions that affect the amounts reported in the financial statements and accompanying notes. Actual results may differ from those estimates, and these differences could be material.</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provided under Regulation S-X and ASC Topic 946-810, </w:t>
      </w:r>
      <w:r>
        <w:rPr>
          <w:rFonts w:ascii="Times New Roman PS Std;serif" w:hAnsi="Times New Roman PS Std;serif"/>
          <w:b w:val="false"/>
          <w:i/>
          <w:caps w:val="false"/>
          <w:smallCaps w:val="false"/>
          <w:sz w:val="20"/>
        </w:rPr>
        <w:t xml:space="preserve">Consolidation </w:t>
      </w:r>
      <w:r>
        <w:rPr>
          <w:rFonts w:ascii="Times New Roman PS Std;serif" w:hAnsi="Times New Roman PS Std;serif"/>
          <w:b w:val="false"/>
          <w:i w:val="false"/>
          <w:caps w:val="false"/>
          <w:smallCaps w:val="false"/>
          <w:sz w:val="20"/>
        </w:rPr>
        <w:t>(“ASC 946-810”)</w:t>
      </w:r>
      <w:r>
        <w:rPr>
          <w:rFonts w:ascii="Times New Roman PS Std;serif" w:hAnsi="Times New Roman PS Std;serif"/>
          <w:b w:val="false"/>
          <w:i/>
          <w:caps w:val="false"/>
          <w:smallCaps w:val="false"/>
          <w:sz w:val="20"/>
        </w:rPr>
        <w:t>,</w:t>
      </w:r>
      <w:r>
        <w:rPr>
          <w:rFonts w:ascii="Times New Roman PS Std;serif" w:hAnsi="Times New Roman PS Std;serif"/>
          <w:b w:val="false"/>
          <w:i w:val="false"/>
          <w:caps w:val="false"/>
          <w:smallCaps w:val="false"/>
          <w:sz w:val="20"/>
        </w:rPr>
        <w:t xml:space="preserve"> the Company will generally not consolidate its investment in a company other than a wholly-owned investment company or a controlled operating company whose business consists of providing services to the Company for the periods during which it was held.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consists of deposits held at the Company’s custodian bank. Cash equivalents consist of highly liquid investments with original maturities of three months or less and money market funds. The Company places its cash equivalents with financial institutions and, at times, cash held in bank accounts may exceed the Federal Deposit Insurance Corporation insured limit. Cash equivalents are classified as Level 1 assets and are included on the Company’s schedule of investments. Certain cash equivalents are carried at cost or amortized cost, which approximates fair value, and investments held in money market funds are valued at their net asset value (“NAV”) per share.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Board of Directors determines the fair value of the Company’s investments in accordance with the provisions of ASC 820, Fair Value Measurement (“ASC 820”) and Rule 2a-5 under the 1940 Act (“Rule 2a-5”). Estimates made in the preparation of the Company’s financial statements include the valuation of investments and the related amounts of unrealized appreciation and depreciation of investments recorded. The Company believes that there is no single definitive method for determining fair value in good faith. As a result, determining fair value requires that judgment be applied to the specific facts and circumstances of each portfolio investment while employing a consistently applied valuation process for the types of investments the Company makes. The Board of Directors values the Company’s investments for which market quotations are not readily available at fair value as determined in good faith by the Board of Directors on at least a quarterly basis. ASC 820 clarified the definition of fair value and requires companies to expand their disclosure about the use of fair value to measure assets and liabilities in interim and annual periods subsequent to initial recognition.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defines fair value as the price that would be received to sell an asset or paid to transfer a liability in an orderly transaction between market participants at the measurement date. ASC 820 also establishes a three-tier fair value hierarchy, which prioritizes the inputs used in measuring fair value. These tiers include: Level 1, defined as observable inputs such as quoted prices in active markets; Level 2, which includes inputs such as quoted prices for similar securities in active markets and quoted prices for identical securities in markets that are not active; and Level 3, defined as unobservable inputs for which little or no market data exists, therefore requiring an entity to develop its own assumptions. The Company considers the attributes of current market conditions on an on-going basis and has determined that due to the general illiquidity of the market for its investment portfolio, whereby little or no market data exists, all of the Company’s investments are based upon Level 3 inputs as of September 30, 2026, and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determines the value of its investment portfolio each quarter. In connection with that determination, members of Oxford Square Management’s portfolio management team prepare a quarterly analysis of each portfolio investment using the most recent portfolio company financial statements, forecasts and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relevant financial and operational information. The Company has and may continue to engage third-party valuation firms to provide assistance in valuing certain of its syndicated loans and bilateral investments, including related equity investments, although the Board of Directors ultimately determines the appropriate valuation of each such investment. Changes in fair value, as described above, are recorded in the statements of operations as net change in unrealized appreciation/depreciation on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Syndicated Loans (Including Senior 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ASC 820, the Company’s valuation procedures specifically provide for the review of indicative quotes supplied by the large agent banks that make a market for each security. However, the marketplace from which the Company obtains indicative bid quotes for purposes of determining the fair value of its syndicated loan investments has shown attributes of illiquidity as described by ASC 820. During such periods of illiquidity, when the Company believes that the non-binding indicative bids received from agent banks for certain syndicated loan investments that it owns may not be determinative of their fair value, or when no market indicative quote is available, the Company has and may continue to engage third-party valuation firms to provide assistance in valuing certain syndicated investments that the Company owns. The third-party valuation firms may use the income or market approach in arriving at a valuation. Unobservable inputs utilized could include discount rates derived from estimated credit spreads and earnings before interest, taxes, depreciation, and amortization (“EBITDA”) multiples. In addition, Oxford Square Management analyzes each syndicated loan by reviewing the portfolio company’s financial statements, covenant compliance and recent trading activity in the security, if known, and other business developments related to the portfolio company. All available information, including non-binding indicative bids which may not be determinative of fair value, is presented to the Company’s Valuation Committee of the Board (the “Valuation Committee”) to consider in its determination of fair value. In some instances, there may be limited trading activity in a security even though the market for the security is considered not active. In such cases, the Valuation Committee will consider the number of trades, the size and timing of each trade, and other circumstances around such trades, to the extent such information is available, in its determination of fair value. The Valuation Committee will evaluate the impact of such additional information, and factor it into its consideration of the fair value that is indicated by the analysis provided by third-party valuation firms, if any. When we receive warrants or other equity securities at nominal or no additional cost in connection with a new syndicated loan investment, or due to a restructuring of an existing investment, the cost basis in the new investments will be allocated between the new debt securities and any such warrants or other equity securities received at the time of origination/restructuring. These investments may be subsequently valued using a multitude of methods, including, but not limited to, intrinsic value methods, Black-Scholes models, and Monte Carlo option pricing models. All information is presented to the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Collateralized Loan Obligations — Debt and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acquired debt and equity positions in CLO investment vehicles and can purchase CLO warehouse facilities. These investments are special purpose financing vehicles. In valuing such investments, the Company considers the indicative prices provided by a recognized industry pricing service as a primary source, and the implied yield of such prices, supplemented by actual trades executed in the market at or around period-end, as well as the indicative prices provided by the broker who arranges transactions in such investment vehicles. The Company also considers those instances in which the record date for an equity distribution payment falls on or before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the Company considers the operating metrics of the specific investment vehicle, including compliance with collateralization tests, defaulted and restructured securities, and payment defaults, if any. In periods of illiquidity and volatility, the Company may rely more heavily on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qualities and metrics, including but not limited to, the collateral manager, time left in the reinvestment period, expected cash flows and overcollateralization ratios, instead of the Company’s generated valuation yields. Oxford Square Management or the Valuation Committee may request an additional analysis by a third-party firm to assist in the valuation process of CLO investment vehicles. All information is presented to the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Bilateral Investments (Including Equity)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Bilateral investments (as defined below) for which market quotations are readily available are valued by an independent pricing agent or market maker. If such market quotations are not readily available, under the valuation procedures approved by the Board, upon the recommendation of the Valuation Committee, a third-party valuation firm will prepare valuations for each of the Company’s bilateral investments that, when combined with all other investments in the same portfolio company, have a value as of the previous quarter of greater than or equal to 2.0% of its total assets as of the previous quarter. In addition, in those instances where a third-party valuation is prepared for a portfolio investment which meets the parameters noted above, the frequency of those third-party valuations is based upon the grade assigned to each such security under its credit grading system as follows: Grade 1, at least annually; Grade 2, at least semi-annually; Grades 3, 4, and 5, at least quarterly. Bilateral investments which do not meet the parameters above are not required to have a third-party valuation and, in those instances, a valuation analysis will be prepared by Oxford Square Management. The Company may also value a recently purchased investment at cost, unless such valuation, in the judgment of the Valuation Committee, does not represent fair value. All information is presented to the Board for its determination of fair value of these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“Bilateral investments” means debt and equity investments directly negotiated between the Company and a portfolio company, but excludes syndicated loans (i.e., corporate loans arranged by an agent on behalf of a company, portions of which are held by multiple investors in addition to OXSQ).</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4. Fair Value” in the notes to the Company’s financial statements for more information on investment valuation and the Company’s portfolio of investments.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is recorded on an accrual basis using the contractual rate applicable to each debt investment and includes the accretion of market discounts and/or original issue discount (“OID”) and amortization of market premiums. Discounts from and premiums to par value on securities purchased are accreted/amortized into interest income over the life of the respective security using the effective yield method. The amortized cost of investments represents the original cost adjusted for the accretion of discounts and amortization of premiums, if any.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also includes a payment-in-kind (“PIK”) component on certain investments in the Company’s portfolio. Refer to the section below, “Payment-In-Kind,” for a description of PIK income and its impact on interest income.</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Payment-In-Kind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has debt and preferred stock investments in its portfolio that contain contractual PIK provisions. PIK interest and preferred stock dividends are computed at their contractual rates and are accrued into income and recorded as interest and dividend income, respectively. The PIK amounts are added to the principal balances on the capitalization dates. Upon capitalization, the PIK portions of the investments are valued at their respective fair values. If the Company believes that PIK is not fully expected to be realized, the PIK investment would be placed on non-accrual status. When a PIK investment is placed on non-accrual status, the accrued, uncapitalized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or dividends would be reversed from the related receivable through interest or dividend income, respectively. PIK investments on non-accrual status are restored to accrual status once it becomes probable that such PIK will be ultimately collectible in cash. For the three and nine months ended September 30, 2026, approximately $0.9 million and $2.6 million of PIK, respectively, was recognized as interest income. For the three and nine months ended September 30, 2025, approximately $0.7 million and $2.3 million of PIK, respectively, was recognized as interest income. For the nine months ended September 30, 2026, there was no PIK recognized as other income. For the nine months ended September 30, 2025, approximately $131,000 of PIK was recognized as other income. For the three and nine months ended September 30, 2026 and 2025, the Company did not recognize PIK dividend income on its preferred stock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from Securitization Vehicles and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Income from investments in the equity class securities of CLO vehicles (typically income notes or subordinated notes) is recorded using the effective interest method in accordance with the provisions of ASC 325-40, </w:t>
      </w:r>
      <w:r>
        <w:rPr>
          <w:rFonts w:ascii="Times New Roman PS Std;serif" w:hAnsi="Times New Roman PS Std;serif"/>
          <w:b w:val="false"/>
          <w:i/>
          <w:caps w:val="false"/>
          <w:smallCaps w:val="false"/>
          <w:sz w:val="20"/>
        </w:rPr>
        <w:t>Beneficial Interests in Securitized Financial Assets</w:t>
      </w:r>
      <w:r>
        <w:rPr>
          <w:rFonts w:ascii="Times New Roman PS Std;serif" w:hAnsi="Times New Roman PS Std;serif"/>
          <w:b w:val="false"/>
          <w:i w:val="false"/>
          <w:caps w:val="false"/>
          <w:smallCaps w:val="false"/>
          <w:sz w:val="20"/>
        </w:rPr>
        <w:t>, based upon estimated cash flows, amounts and timing, including those CLO equity investments that have not made their inaugural distribution for the relevant period end. The Company monitors the expected residual payments, and effective yield is determined and updated periodically, as needed. Accordingly, investment income recognized on CLO equity securities in the statements of operations differs from both the tax-basis investment income and from the cash distributions actually received by the Company during the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also records income on its investments in CLO warehouse facilities based on a stated rate per the underlying note purchase agreement plus accrued interest or, if there is no stated rate, then an estimated rate is calculated using a base case model projecting the timing of the ramp-up of the CLO warehouse facility. For the three and nine months ended September 30, 2026 and 2025, no income was recognized related to CLO warehouse facilities. As of September 30, 2026 and December 31, 2025, the Company did not hold any investments in CLO warehouse facilities.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includes prepayment, amendment, and other fees earned by the Company’s loan investments, distributions from fee letters and success fees associated with portfolio investments. Distributions from fee letters are an enhancement to the return on a CLO equity investment and are based upon a percentage of the collateral manager’s fees above the amortized cost, and are recorded as other income when earned. The Company may also earn success fees associated with its investments in certain securitization vehicles or CLO warehouse facilities, which are contingent upon a repayment of the warehouse by a permanent CLO securitization structure; such fees are earned and recognized when the repayment is completed. The Company also earns other income on its cash equivalents balance, which represents cash invested in a money market fund.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 Dividends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holds preferred stock investments in its portfolio that contain cumulative preferred dividends that accumulate quarterly. The Company will generally record cumulative preferred dividends as investment income when they are received or declared by the portfolio company’s board of directors or upon any voluntary or involuntary liquidation, dissolution or winding up of the portfolio company, and are collectible. As of September 30, 2026, the Company’s preferred equity investments in one of its portfolio companies were on non-accrual status, which had an aggregate fair value of approximately $6.8 million. As of December 31, 2025, the Company’s preferred equity investments in one of its portfolio companies were on non-accrual status, which had an aggregate fair value of approximately $5.0 million. There were no cumulative preferred dividends recorded as dividend income during the three and nine months ended September 30, 2026 and 2025, as the Company deemed them to be uncollectible.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Non-Accrual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Investments are generally placed on non-accrual status when there is reasonable doubt that principal or interest or dividends will be collected in full and the Company will generally cease recognizing interest or dividend income on that investment for financial reporting purposes until all principal and interest or dividends have been brought current through payment or due to restructuring such that the interest or dividend income is deemed to be collectible. The Company generally restores non-accrual investments to accrual status when past due principal and interest or dividend is paid and, in the Company’s judgment, is likely to remain current. As of September 30, 2026 and December 31, 2025, the Company did not have any debt investments that were on non-accrual status.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DEFERRED DEBT ISSUANCE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debt issuance costs consist of fees and expenses incurred in connection with the closing or amending of credit facilities and debt offerings, and are capitalized at the time of payment. These costs are amortized using the straight line method over the terms of the respective credit facilities and debt securities. The amortized expenses are included in interest expense in the Company’s financial statements. The unamortized deferred debt issuance costs on debt offerings are included on the Company’s statements of assets and liabilities as a direct deduction from the related debt liability, whereas unamortized deferred debt issuance costs associated with credit facilities, if any, are included within other assets. Upon early termination or partial principal pay down of debt, or a credit facility, the unamortized costs related to such debt are accelerated into realized losses on extinguishment of debt on the Company’s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OFFERING COSTS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offering costs consist of fees and expenses incurred in connection with the registration and public offer and sale of the Company’s common stock, including legal, audit and printing fees. These costs are deferred at the time of incurrence and are subsequently charged as a reduction to capital when the offering takes place or as shares are issued. Deferred costs are periodically reviewed and expensed if the related registration is no longer active.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SHARE REPURCHASES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(the “Share Repurchase Program”). Under the Share Repurchase Program, the Company could have repurchased, during the 12-month period commencing on October 30, 2025, up to $25.0 million in the aggregate of the Company’s outstanding common stock in the open market. The timing, manner, price and amount of any share repurchases would have been determined by the Company, in its discretion, based upon the evaluation of economic and market conditions, the Company’s stock price, applicable legal, contractual and regulatory requirements and other factors. The Share Repurchase Program was effective until October 30, 2026. The Share Repurchase Program did not require the Company to repurchase any specific number of shares, and the Company could not assure stockholders that any shares would have been repurchased under the Share Repurchase Program. As of September 30, 2026 and December 31, 2025, no shares were repurchased under the Share Repurchase Program.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SECURITIES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transactions are recorded on the trade date. Realized gains and losses on investments sold are recorded on the basis of specific identification. An optional redemption (“optionally redeemed”) feature of a CLO allows a majority of the holders of the equity securities issued by the CLO issuer, after the end of a specified non-call period, to cause the redemption of the secured notes issued by the CLO with proceeds paid either through the liquidation of the CLO’s assets or through a refinancing with new debt. The optional redemption is effectively a prepayment of the secured debt issued by the CLO prior to the stated maturity of such debt. Distributions received on CLO equity investments where the optional redemption feature has been exercised are first applied to the remaining cost basis until it is reduced to zero, after which distributions are recorded as realized gains. In the event a redeemed CLO indenture is discharged, any remaining cost after applying any final cash payment will be recorded as a realized loss.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U.S. FEDERAL INCOME TAXES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operate so as to qualify to be taxed as a RIC under Subchapter M of the Code and, as such, to not be subject to U.S. federal income tax on the portion of its taxable income and gains timely distributed to stockholders. To qualify for RIC tax treatment, the Company is required to distribute at least 90% of its investment company taxable income annually, meet certain source-of-income requirements annually and certain diversification requirements quarterly and file Form 1120-RIC, as defined by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U.S.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financial statements to reflect their tax character. Temporary differences arise when certain items of income, expense, gain or loss are recognized at some time in the future. Differences in classification may also result from the treatment of short-term gains as ordinary income for tax purposes.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recognizes the tax benefits of uncertain tax positions only when the position is more likely than not to be sustained, assuming examination by tax authorities. Through September 30, 2026, management has analyzed the Company’s tax positions and concluded that no liability for unrecognized tax benefits should be recorded related to uncertain tax positions expected to be taken in the Company’s 2025 or 2026 tax returns. The Company identifies its major tax jurisdictions as U.S. Federal and the state of Connecticut. The Company did not have any uncertain tax positions that met the recognition measurement criteria of </w:t>
      </w:r>
      <w:r>
        <w:rPr>
          <w:rFonts w:ascii="Times New Roman PS Std;serif" w:hAnsi="Times New Roman PS Std;serif"/>
          <w:b w:val="false"/>
          <w:i/>
          <w:caps w:val="false"/>
          <w:smallCaps w:val="false"/>
          <w:sz w:val="20"/>
        </w:rPr>
        <w:t>ASC 740-10-25, Income Taxes</w:t>
      </w:r>
      <w:r>
        <w:rPr>
          <w:rFonts w:ascii="Times New Roman PS Std;serif" w:hAnsi="Times New Roman PS Std;serif"/>
          <w:b w:val="false"/>
          <w:i w:val="false"/>
          <w:caps w:val="false"/>
          <w:smallCaps w:val="false"/>
          <w:sz w:val="20"/>
        </w:rPr>
        <w:t>, nor did the Company have any unrecognized tax benefits as of the periods presented herein. The Company files tax returns with the Internal Revenue Service and the state of Connecticut. Generally, each of the last three tax returns filed remains subject to examination by taxing authorities.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tax purposes, the cost basis of the portfolio investments as of September 30, 2026, and December 31, 2025, was approximately $399,647,241 and $395,691,951,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ACCOUNTING PRONOUNCEMENTS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2024, the FASB issued ASU 2024-03, “Income Statement — Reporting Comprehensive Income — Expense Disaggregation Disclosures” (“ASU 2024-03”), which requires public business entities to disclose disaggregated expense details in their income statements, including categories such as employee compensation, depreciation, and amortization. The update aims to enhance transparency by requiring tabular disclosures and qualitative descriptions for unspecified amounts. Additionally, entities must report total selling expenses and their definitions annually. The amendments are effective for annual reporting periods beginning after December 15, 2026, and interim reporting periods within annual reporting periods beginning after December 15, 2027, with early adoption permitted. The Company is currently assessing the impact of this guidance, however, the Company does not expect a material impact on its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3. SUMMARY OF SIGNIFICANT ACCOUNTING POLICIES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September 2026, the FASB issued ASU 2026-03, Fair Value Measurement (Topic 820): Investment Companies with Equity Securities Subject to Contractual Sale Restrictions (“ASU 2026-03”). ASU 2026-03 requires investment companies within the scope of ASC 946 to incorporate the effect of contractual sale restrictions when measuring the fair value of affected equity securities and to disclose the amount of the related discounts. The amendments are effective for annual reporting periods beginning after December 15, 2027, including interim periods within those annual periods, with early adoption permitted. The amendments will be applied prospectively to all equity securities, including those subject to contractual sale restrictions in effect on the adoption date, with any adoption adjustment recognized in current-period earnings. The Company is currently assessing the impact of this guidance, however, the Company does not expect a material impact on its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4. FAIR VALUE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assets measured at fair value by investment type on a recurring basis as of September 30, 2026 were as follows:</w:t>
      </w:r>
    </w:p>
    <w:tbl>
      <w:tblPr>
        <w:tblW w:w="9994" w:type="dxa"/>
        <w:jc w:val="left"/>
        <w:tblInd w:w="0" w:type="dxa"/>
        <w:tblLayout w:type="fixed"/>
        <w:tblCellMar>
          <w:top w:w="0" w:type="dxa"/>
          <w:left w:w="0" w:type="dxa"/>
          <w:bottom w:w="0" w:type="dxa"/>
          <w:right w:w="0" w:type="dxa"/>
        </w:tblCellMar>
      </w:tblPr>
      <w:tblGrid>
        <w:gridCol w:w="3136"/>
        <w:gridCol w:w="146"/>
        <w:gridCol w:w="580"/>
        <w:gridCol w:w="1190"/>
        <w:gridCol w:w="277"/>
        <w:gridCol w:w="597"/>
        <w:gridCol w:w="724"/>
        <w:gridCol w:w="277"/>
        <w:gridCol w:w="543"/>
        <w:gridCol w:w="1341"/>
        <w:gridCol w:w="146"/>
        <w:gridCol w:w="286"/>
        <w:gridCol w:w="751"/>
      </w:tblGrid>
      <w:tr>
        <w:tc>
          <w:tcPr>
            <w:tcW w:w="31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5529"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pPr>
            <w:r>
              <w:t> </w:t>
            </w:r>
          </w:p>
        </w:tc>
        <w:tc>
          <w:tcPr>
            <w:tcW w:w="103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c>
          <w:tcPr>
            <w:tcW w:w="31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tcBorders/>
            <w:vAlign w:val="bottom"/>
          </w:tcPr>
          <w:p>
            <w:pPr>
              <w:pStyle w:val="TableContents"/>
              <w:bidi w:val="0"/>
              <w:spacing w:before="0" w:after="283"/>
              <w:jc w:val="left"/>
            </w:pPr>
            <w:r>
              <w:t> </w:t>
            </w:r>
          </w:p>
        </w:tc>
        <w:tc>
          <w:tcPr>
            <w:tcW w:w="17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Quoted Prices</w:t>
              <w:br/>
              <w:t>in Active</w:t>
              <w:br/>
              <w:t>Markets for</w:t>
              <w:br/>
              <w:t>Identical Assets</w:t>
              <w:br/>
              <w:t>(Level 1)</w:t>
            </w:r>
          </w:p>
        </w:tc>
        <w:tc>
          <w:tcPr>
            <w:tcW w:w="277" w:type="dxa"/>
            <w:tcBorders/>
            <w:vAlign w:val="bottom"/>
          </w:tcPr>
          <w:p>
            <w:pPr>
              <w:pStyle w:val="TableContents"/>
              <w:bidi w:val="0"/>
              <w:spacing w:before="0" w:after="283"/>
              <w:jc w:val="left"/>
            </w:pPr>
            <w: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br/>
              <w:t>Other</w:t>
              <w:br/>
              <w:t>Observable</w:t>
              <w:br/>
              <w:t>Inputs</w:t>
              <w:br/>
              <w:t>(Level 2)</w:t>
            </w:r>
          </w:p>
        </w:tc>
        <w:tc>
          <w:tcPr>
            <w:tcW w:w="277" w:type="dxa"/>
            <w:tcBorders/>
            <w:vAlign w:val="bottom"/>
          </w:tcPr>
          <w:p>
            <w:pPr>
              <w:pStyle w:val="TableContents"/>
              <w:bidi w:val="0"/>
              <w:spacing w:before="0" w:after="283"/>
              <w:jc w:val="left"/>
            </w:pPr>
            <w:r>
              <w:t> </w:t>
            </w:r>
          </w:p>
        </w:tc>
        <w:tc>
          <w:tcPr>
            <w:tcW w:w="188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br/>
              <w:t>Unobservable</w:t>
              <w:br/>
              <w:t>Inputs</w:t>
              <w:br/>
              <w:t>(Level 3)</w:t>
            </w:r>
          </w:p>
        </w:tc>
        <w:tc>
          <w:tcPr>
            <w:tcW w:w="146" w:type="dxa"/>
            <w:tcBorders/>
            <w:vAlign w:val="bottom"/>
          </w:tcPr>
          <w:p>
            <w:pPr>
              <w:pStyle w:val="TableContents"/>
              <w:bidi w:val="0"/>
              <w:spacing w:before="0" w:after="283"/>
              <w:jc w:val="left"/>
            </w:pPr>
            <w:r>
              <w:t> </w:t>
            </w:r>
          </w:p>
        </w:tc>
        <w:tc>
          <w:tcPr>
            <w:tcW w:w="1037" w:type="dxa"/>
            <w:gridSpan w:val="2"/>
            <w:vMerge w:val="continue"/>
            <w:tcBorders/>
            <w:vAlign w:val="bottom"/>
          </w:tcPr>
          <w:p>
            <w:pPr>
              <w:pStyle w:val="Normal"/>
              <w:bidi w:val="0"/>
              <w:jc w:val="left"/>
            </w:pPr>
            <w:r/>
          </w:p>
        </w:tc>
      </w:tr>
      <w:t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pPr>
            <w:r>
              <w:t> </w:t>
            </w:r>
          </w:p>
        </w:tc>
        <w:tc>
          <w:tcPr>
            <w:tcW w:w="5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0"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4"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r>
      <w:t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pPr>
            <w:r>
              <w:t> </w:t>
            </w:r>
          </w:p>
        </w:tc>
        <w:tc>
          <w:tcPr>
            <w:tcW w:w="5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0"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r>
      <w:t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pPr>
            <w:r>
              <w:t> </w:t>
            </w:r>
          </w:p>
        </w:tc>
        <w:tc>
          <w:tcPr>
            <w:tcW w:w="5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0"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r>
      <w:t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w:t>
            </w:r>
          </w:p>
        </w:tc>
        <w:tc>
          <w:tcPr>
            <w:tcW w:w="146" w:type="dxa"/>
            <w:tcBorders/>
            <w:vAlign w:val="bottom"/>
          </w:tcPr>
          <w:p>
            <w:pPr>
              <w:pStyle w:val="TableContents"/>
              <w:bidi w:val="0"/>
              <w:spacing w:before="0" w:after="283"/>
              <w:jc w:val="left"/>
            </w:pPr>
            <w:r>
              <w:t> </w:t>
            </w:r>
          </w:p>
        </w:tc>
        <w:tc>
          <w:tcPr>
            <w:tcW w:w="5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0"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r>
      <w:tr>
        <w:tc>
          <w:tcPr>
            <w:tcW w:w="31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pPr>
            <w:r>
              <w:t> </w:t>
            </w:r>
          </w:p>
        </w:tc>
        <w:tc>
          <w:tcPr>
            <w:tcW w:w="5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277" w:type="dxa"/>
            <w:tcBorders/>
            <w:shd w:fill="CCEEFF" w:val="clear"/>
            <w:vAlign w:val="bottom"/>
          </w:tcPr>
          <w:p>
            <w:pPr>
              <w:pStyle w:val="TableContents"/>
              <w:bidi w:val="0"/>
              <w:spacing w:before="0" w:after="283"/>
              <w:jc w:val="left"/>
            </w:pPr>
            <w:r>
              <w:t> </w:t>
            </w:r>
          </w:p>
        </w:tc>
        <w:tc>
          <w:tcPr>
            <w:tcW w:w="5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r>
      <w:tr>
        <w:tc>
          <w:tcPr>
            <w:tcW w:w="31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w:t>
            </w:r>
          </w:p>
        </w:tc>
        <w:tc>
          <w:tcPr>
            <w:tcW w:w="146" w:type="dxa"/>
            <w:tcBorders/>
            <w:vAlign w:val="bottom"/>
          </w:tcPr>
          <w:p>
            <w:pPr>
              <w:pStyle w:val="TableContents"/>
              <w:bidi w:val="0"/>
              <w:spacing w:before="0" w:after="283"/>
              <w:jc w:val="left"/>
            </w:pPr>
            <w:r>
              <w:t> </w:t>
            </w:r>
          </w:p>
        </w:tc>
        <w:tc>
          <w:tcPr>
            <w:tcW w:w="58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w:t>
            </w:r>
          </w:p>
        </w:tc>
        <w:tc>
          <w:tcPr>
            <w:tcW w:w="277" w:type="dxa"/>
            <w:tcBorders/>
            <w:vAlign w:val="bottom"/>
          </w:tcPr>
          <w:p>
            <w:pPr>
              <w:pStyle w:val="TableContents"/>
              <w:bidi w:val="0"/>
              <w:spacing w:before="0" w:after="283"/>
              <w:jc w:val="left"/>
            </w:pPr>
            <w:r>
              <w:t> </w:t>
            </w:r>
          </w:p>
        </w:tc>
        <w:tc>
          <w:tcPr>
            <w:tcW w:w="5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4" w:type="dxa"/>
            <w:tcBorders>
              <w:bottom w:val="double" w:sz="2" w:space="0" w:color="000000"/>
            </w:tcBorders>
            <w:tcMar>
              <w:bottom w:w="28" w:type="dxa"/>
            </w:tcMar>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302.9</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assets measured at fair value by investment type on a recurring basis as of December 31, 2025 were as follows:</w:t>
      </w:r>
    </w:p>
    <w:tbl>
      <w:tblPr>
        <w:tblW w:w="10205" w:type="dxa"/>
        <w:jc w:val="left"/>
        <w:tblInd w:w="0" w:type="dxa"/>
        <w:tblLayout w:type="fixed"/>
        <w:tblCellMar>
          <w:top w:w="0" w:type="dxa"/>
          <w:left w:w="0" w:type="dxa"/>
          <w:bottom w:w="0" w:type="dxa"/>
          <w:right w:w="0" w:type="dxa"/>
        </w:tblCellMar>
      </w:tblPr>
      <w:tblGrid>
        <w:gridCol w:w="3344"/>
        <w:gridCol w:w="146"/>
        <w:gridCol w:w="580"/>
        <w:gridCol w:w="1191"/>
        <w:gridCol w:w="277"/>
        <w:gridCol w:w="597"/>
        <w:gridCol w:w="724"/>
        <w:gridCol w:w="277"/>
        <w:gridCol w:w="543"/>
        <w:gridCol w:w="1343"/>
        <w:gridCol w:w="146"/>
        <w:gridCol w:w="286"/>
        <w:gridCol w:w="751"/>
      </w:tblGrid>
      <w:tr>
        <w:tc>
          <w:tcPr>
            <w:tcW w:w="334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553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 Value Measurements at Reporting Date Using</w:t>
            </w:r>
          </w:p>
        </w:tc>
        <w:tc>
          <w:tcPr>
            <w:tcW w:w="146" w:type="dxa"/>
            <w:tcBorders/>
            <w:vAlign w:val="bottom"/>
          </w:tcPr>
          <w:p>
            <w:pPr>
              <w:pStyle w:val="TableContents"/>
              <w:bidi w:val="0"/>
              <w:spacing w:before="0" w:after="283"/>
              <w:jc w:val="left"/>
            </w:pPr>
            <w:r>
              <w:t> </w:t>
            </w:r>
          </w:p>
        </w:tc>
        <w:tc>
          <w:tcPr>
            <w:tcW w:w="103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c>
          <w:tcPr>
            <w:tcW w:w="334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Assets ($ in millions)</w:t>
            </w:r>
          </w:p>
        </w:tc>
        <w:tc>
          <w:tcPr>
            <w:tcW w:w="146" w:type="dxa"/>
            <w:tcBorders/>
            <w:vAlign w:val="bottom"/>
          </w:tcPr>
          <w:p>
            <w:pPr>
              <w:pStyle w:val="TableContents"/>
              <w:bidi w:val="0"/>
              <w:spacing w:before="0" w:after="283"/>
              <w:jc w:val="left"/>
            </w:pPr>
            <w:r>
              <w:t> </w:t>
            </w:r>
          </w:p>
        </w:tc>
        <w:tc>
          <w:tcPr>
            <w:tcW w:w="17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Quoted Prices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 Active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Markets for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Identical Assets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(Level 1)</w:t>
            </w:r>
          </w:p>
        </w:tc>
        <w:tc>
          <w:tcPr>
            <w:tcW w:w="277" w:type="dxa"/>
            <w:tcBorders/>
            <w:vAlign w:val="bottom"/>
          </w:tcPr>
          <w:p>
            <w:pPr>
              <w:pStyle w:val="TableContents"/>
              <w:bidi w:val="0"/>
              <w:spacing w:before="0" w:after="283"/>
              <w:jc w:val="left"/>
            </w:pPr>
            <w:r>
              <w:t> </w:t>
            </w:r>
          </w:p>
        </w:tc>
        <w:tc>
          <w:tcPr>
            <w:tcW w:w="13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Observable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Inputs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(Level 2)</w:t>
            </w:r>
          </w:p>
        </w:tc>
        <w:tc>
          <w:tcPr>
            <w:tcW w:w="277" w:type="dxa"/>
            <w:tcBorders/>
            <w:vAlign w:val="bottom"/>
          </w:tcPr>
          <w:p>
            <w:pPr>
              <w:pStyle w:val="TableContents"/>
              <w:bidi w:val="0"/>
              <w:spacing w:before="0" w:after="283"/>
              <w:jc w:val="left"/>
            </w:pPr>
            <w:r>
              <w:t> </w:t>
            </w:r>
          </w:p>
        </w:tc>
        <w:tc>
          <w:tcPr>
            <w:tcW w:w="1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Significant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Unobservable</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Inputs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(Level 3)</w:t>
            </w:r>
          </w:p>
        </w:tc>
        <w:tc>
          <w:tcPr>
            <w:tcW w:w="146" w:type="dxa"/>
            <w:tcBorders/>
            <w:vAlign w:val="bottom"/>
          </w:tcPr>
          <w:p>
            <w:pPr>
              <w:pStyle w:val="TableContents"/>
              <w:bidi w:val="0"/>
              <w:spacing w:before="0" w:after="283"/>
              <w:jc w:val="left"/>
            </w:pPr>
            <w:r>
              <w:t> </w:t>
            </w:r>
          </w:p>
        </w:tc>
        <w:tc>
          <w:tcPr>
            <w:tcW w:w="1037" w:type="dxa"/>
            <w:gridSpan w:val="2"/>
            <w:vMerge w:val="continue"/>
            <w:tcBorders/>
            <w:vAlign w:val="bottom"/>
          </w:tcPr>
          <w:p>
            <w:pPr>
              <w:pStyle w:val="Normal"/>
              <w:bidi w:val="0"/>
              <w:jc w:val="left"/>
            </w:pPr>
            <w:r/>
          </w:p>
        </w:tc>
      </w:tr>
      <w:tr>
        <w:tc>
          <w:tcPr>
            <w:tcW w:w="3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pPr>
            <w:r>
              <w:t> </w:t>
            </w:r>
          </w:p>
        </w:tc>
        <w:tc>
          <w:tcPr>
            <w:tcW w:w="58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1"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4"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4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r>
      <w:tr>
        <w:tc>
          <w:tcPr>
            <w:tcW w:w="3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pPr>
            <w:r>
              <w:t> </w:t>
            </w:r>
          </w:p>
        </w:tc>
        <w:tc>
          <w:tcPr>
            <w:tcW w:w="5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1"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r>
      <w:tr>
        <w:tc>
          <w:tcPr>
            <w:tcW w:w="3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pPr>
            <w:r>
              <w:t> </w:t>
            </w:r>
          </w:p>
        </w:tc>
        <w:tc>
          <w:tcPr>
            <w:tcW w:w="5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1"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r>
      <w:tr>
        <w:tc>
          <w:tcPr>
            <w:tcW w:w="3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investments at fair value(1)</w:t>
            </w:r>
          </w:p>
        </w:tc>
        <w:tc>
          <w:tcPr>
            <w:tcW w:w="146" w:type="dxa"/>
            <w:tcBorders/>
            <w:vAlign w:val="bottom"/>
          </w:tcPr>
          <w:p>
            <w:pPr>
              <w:pStyle w:val="TableContents"/>
              <w:bidi w:val="0"/>
              <w:spacing w:before="0" w:after="283"/>
              <w:jc w:val="left"/>
            </w:pPr>
            <w:r>
              <w:t> </w:t>
            </w:r>
          </w:p>
        </w:tc>
        <w:tc>
          <w:tcPr>
            <w:tcW w:w="58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1"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4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r>
      <w:tr>
        <w:tc>
          <w:tcPr>
            <w:tcW w:w="334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shd w:fill="CCEEFF" w:val="clear"/>
            <w:vAlign w:val="bottom"/>
          </w:tcPr>
          <w:p>
            <w:pPr>
              <w:pStyle w:val="TableContents"/>
              <w:bidi w:val="0"/>
              <w:spacing w:before="0" w:after="283"/>
              <w:jc w:val="left"/>
            </w:pPr>
            <w:r>
              <w:t> </w:t>
            </w:r>
          </w:p>
        </w:tc>
        <w:tc>
          <w:tcPr>
            <w:tcW w:w="58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77" w:type="dxa"/>
            <w:tcBorders/>
            <w:shd w:fill="CCEEFF" w:val="clear"/>
            <w:vAlign w:val="bottom"/>
          </w:tcPr>
          <w:p>
            <w:pPr>
              <w:pStyle w:val="TableContents"/>
              <w:bidi w:val="0"/>
              <w:spacing w:before="0" w:after="283"/>
              <w:jc w:val="left"/>
            </w:pPr>
            <w:r>
              <w:t> </w:t>
            </w:r>
          </w:p>
        </w:tc>
        <w:tc>
          <w:tcPr>
            <w:tcW w:w="5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4" w:type="dxa"/>
            <w:tcBorders/>
            <w:shd w:fill="CCEEFF" w:val="clear"/>
            <w:vAlign w:val="bottom"/>
          </w:tcPr>
          <w:p>
            <w:pPr>
              <w:pStyle w:val="TableContents"/>
              <w:bidi w:val="0"/>
              <w:spacing w:before="0" w:after="283"/>
              <w:jc w:val="right"/>
            </w:pPr>
            <w:r>
              <w:t>—</w:t>
            </w:r>
          </w:p>
        </w:tc>
        <w:tc>
          <w:tcPr>
            <w:tcW w:w="277" w:type="dxa"/>
            <w:tcBorders/>
            <w:shd w:fill="CCEEFF" w:val="clear"/>
            <w:vAlign w:val="bottom"/>
          </w:tcPr>
          <w:p>
            <w:pPr>
              <w:pStyle w:val="TableContents"/>
              <w:bidi w:val="0"/>
              <w:spacing w:before="0" w:after="283"/>
              <w:jc w:val="left"/>
            </w:pPr>
            <w:r>
              <w:t> </w:t>
            </w:r>
          </w:p>
        </w:tc>
        <w:tc>
          <w:tcPr>
            <w:tcW w:w="54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3"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r>
      <w:tr>
        <w:tc>
          <w:tcPr>
            <w:tcW w:w="334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 at fair value(1)</w:t>
            </w:r>
          </w:p>
        </w:tc>
        <w:tc>
          <w:tcPr>
            <w:tcW w:w="146" w:type="dxa"/>
            <w:tcBorders/>
            <w:vAlign w:val="bottom"/>
          </w:tcPr>
          <w:p>
            <w:pPr>
              <w:pStyle w:val="TableContents"/>
              <w:bidi w:val="0"/>
              <w:spacing w:before="0" w:after="283"/>
              <w:jc w:val="left"/>
            </w:pPr>
            <w:r>
              <w:t> </w:t>
            </w:r>
          </w:p>
        </w:tc>
        <w:tc>
          <w:tcPr>
            <w:tcW w:w="58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w:t>
            </w:r>
          </w:p>
        </w:tc>
        <w:tc>
          <w:tcPr>
            <w:tcW w:w="277" w:type="dxa"/>
            <w:tcBorders/>
            <w:vAlign w:val="bottom"/>
          </w:tcPr>
          <w:p>
            <w:pPr>
              <w:pStyle w:val="TableContents"/>
              <w:bidi w:val="0"/>
              <w:spacing w:before="0" w:after="283"/>
              <w:jc w:val="left"/>
            </w:pPr>
            <w:r>
              <w:t> </w:t>
            </w:r>
          </w:p>
        </w:tc>
        <w:tc>
          <w:tcPr>
            <w:tcW w:w="5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4" w:type="dxa"/>
            <w:tcBorders>
              <w:bottom w:val="double" w:sz="2" w:space="0" w:color="000000"/>
            </w:tcBorders>
            <w:tcMar>
              <w:bottom w:w="28" w:type="dxa"/>
            </w:tcMar>
            <w:vAlign w:val="bottom"/>
          </w:tcPr>
          <w:p>
            <w:pPr>
              <w:pStyle w:val="TableContents"/>
              <w:bidi w:val="0"/>
              <w:spacing w:before="0" w:after="283"/>
              <w:jc w:val="right"/>
            </w:pPr>
            <w:r>
              <w:t>—</w:t>
            </w:r>
          </w:p>
        </w:tc>
        <w:tc>
          <w:tcPr>
            <w:tcW w:w="277" w:type="dxa"/>
            <w:tcBorders/>
            <w:vAlign w:val="bottom"/>
          </w:tcPr>
          <w:p>
            <w:pPr>
              <w:pStyle w:val="TableContents"/>
              <w:bidi w:val="0"/>
              <w:spacing w:before="0" w:after="283"/>
              <w:jc w:val="left"/>
            </w:pPr>
            <w:r>
              <w:t> </w:t>
            </w:r>
          </w:p>
        </w:tc>
        <w:tc>
          <w:tcPr>
            <w:tcW w:w="5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303.0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Significant Unobservable Inputs for Level 3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provide quantitative information about the Company’s Level 3 fair value measurements as of September 30, 2026 and December 31, 2025, respectively. The Company’s Valuation Policy, which was previously approved by the Board, establishes parameters for the sources and types of valuation analysis, as well as the methodologies and inputs that the Company uses in determining fair value. If the Valuation Committee or Oxford Square Management determines that additional techniques, sources or inputs are appropriate or necessary in a given situation, such additional analysis will be undertaken. The tables, therefore, are not all-inclusive, but provide information on the significant Level 3 inputs that are pertinent to the Company’s fair value measurements. The weighted average calculations in the tables below are based on fair values for all debt related calculations and CLO equity.</w:t>
      </w:r>
    </w:p>
    <w:tbl>
      <w:tblPr>
        <w:tblW w:w="10205" w:type="dxa"/>
        <w:jc w:val="left"/>
        <w:tblInd w:w="0" w:type="dxa"/>
        <w:tblLayout w:type="fixed"/>
        <w:tblCellMar>
          <w:top w:w="0" w:type="dxa"/>
          <w:left w:w="0" w:type="dxa"/>
          <w:bottom w:w="0" w:type="dxa"/>
          <w:right w:w="0" w:type="dxa"/>
        </w:tblCellMar>
      </w:tblPr>
      <w:tblGrid>
        <w:gridCol w:w="1967"/>
        <w:gridCol w:w="146"/>
        <w:gridCol w:w="437"/>
        <w:gridCol w:w="1079"/>
        <w:gridCol w:w="146"/>
        <w:gridCol w:w="1711"/>
        <w:gridCol w:w="146"/>
        <w:gridCol w:w="1523"/>
        <w:gridCol w:w="146"/>
        <w:gridCol w:w="1517"/>
        <w:gridCol w:w="146"/>
        <w:gridCol w:w="1241"/>
      </w:tblGrid>
      <w:tr>
        <w:tc>
          <w:tcPr>
            <w:tcW w:w="19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6705"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pPr>
            <w:r>
              <w:t> </w:t>
            </w:r>
          </w:p>
        </w:tc>
        <w:tc>
          <w:tcPr>
            <w:tcW w:w="1241"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Impact to </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Fair Value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from 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Increase in</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br/>
              <w:t>Input</w:t>
            </w:r>
            <w:r>
              <w:rPr>
                <w:rFonts w:ascii="Times New Roman PS Std;serif" w:hAnsi="Times New Roman PS Std;serif"/>
                <w:b/>
                <w:i w:val="false"/>
                <w:caps w:val="false"/>
                <w:smallCaps w:val="false"/>
                <w:sz w:val="12"/>
              </w:rPr>
              <w:t>(2)</w:t>
            </w:r>
          </w:p>
        </w:tc>
      </w:tr>
      <w:tr>
        <w:tc>
          <w:tcPr>
            <w:tcW w:w="196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 ($ in millions)</w:t>
            </w:r>
          </w:p>
        </w:tc>
        <w:tc>
          <w:tcPr>
            <w:tcW w:w="146" w:type="dxa"/>
            <w:tcBorders/>
            <w:vAlign w:val="bottom"/>
          </w:tcPr>
          <w:p>
            <w:pPr>
              <w:pStyle w:val="TableContents"/>
              <w:bidi w:val="0"/>
              <w:spacing w:before="0" w:after="283"/>
              <w:jc w:val="left"/>
            </w:pPr>
            <w:r>
              <w:t> </w:t>
            </w:r>
          </w:p>
        </w:tc>
        <w:tc>
          <w:tcPr>
            <w:tcW w:w="151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 Value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September 30,</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2026</w:t>
            </w:r>
          </w:p>
        </w:tc>
        <w:tc>
          <w:tcPr>
            <w:tcW w:w="146" w:type="dxa"/>
            <w:tcBorders/>
            <w:vAlign w:val="bottom"/>
          </w:tcPr>
          <w:p>
            <w:pPr>
              <w:pStyle w:val="TableContents"/>
              <w:bidi w:val="0"/>
              <w:spacing w:before="0" w:after="283"/>
              <w:jc w:val="left"/>
            </w:pPr>
            <w:r>
              <w:t> </w:t>
            </w:r>
          </w:p>
        </w:tc>
        <w:tc>
          <w:tcPr>
            <w:tcW w:w="1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Valuation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Techniques/</w:t>
              <w:br/>
              <w:t>Methodologies</w:t>
            </w:r>
          </w:p>
        </w:tc>
        <w:tc>
          <w:tcPr>
            <w:tcW w:w="146" w:type="dxa"/>
            <w:tcBorders/>
            <w:vAlign w:val="bottom"/>
          </w:tcPr>
          <w:p>
            <w:pPr>
              <w:pStyle w:val="TableContents"/>
              <w:bidi w:val="0"/>
              <w:spacing w:before="0" w:after="283"/>
              <w:jc w:val="left"/>
            </w:pPr>
            <w:r>
              <w:t> </w:t>
            </w:r>
          </w:p>
        </w:tc>
        <w:tc>
          <w:tcPr>
            <w:tcW w:w="152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Unobservable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Input</w:t>
            </w:r>
          </w:p>
        </w:tc>
        <w:tc>
          <w:tcPr>
            <w:tcW w:w="146" w:type="dxa"/>
            <w:tcBorders/>
            <w:vAlign w:val="bottom"/>
          </w:tcPr>
          <w:p>
            <w:pPr>
              <w:pStyle w:val="TableContents"/>
              <w:bidi w:val="0"/>
              <w:spacing w:before="0" w:after="283"/>
              <w:jc w:val="left"/>
            </w:pPr>
            <w:r>
              <w:t> </w:t>
            </w:r>
          </w:p>
        </w:tc>
        <w:tc>
          <w:tcPr>
            <w:tcW w:w="15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Range/Weighted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Average</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pPr>
            <w:r>
              <w:t> </w:t>
            </w:r>
          </w:p>
        </w:tc>
        <w:tc>
          <w:tcPr>
            <w:tcW w:w="1241" w:type="dxa"/>
            <w:vMerge w:val="continue"/>
            <w:tcBorders/>
            <w:vAlign w:val="bottom"/>
          </w:tcPr>
          <w:p>
            <w:pPr>
              <w:pStyle w:val="Normal"/>
              <w:bidi w:val="0"/>
              <w:jc w:val="left"/>
            </w:pPr>
            <w:r/>
          </w:p>
        </w:tc>
      </w:tr>
      <w:tr>
        <w:tc>
          <w:tcPr>
            <w:tcW w:w="196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Senior Secured Notes</w:t>
            </w:r>
          </w:p>
        </w:tc>
        <w:tc>
          <w:tcPr>
            <w:tcW w:w="146"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153.4</w:t>
            </w:r>
          </w:p>
        </w:tc>
        <w:tc>
          <w:tcPr>
            <w:tcW w:w="146" w:type="dxa"/>
            <w:tcBorders/>
            <w:shd w:fill="CCEEFF" w:val="clear"/>
            <w:vAlign w:val="bottom"/>
          </w:tcPr>
          <w:p>
            <w:pPr>
              <w:pStyle w:val="TableContents"/>
              <w:bidi w:val="0"/>
              <w:spacing w:before="0" w:after="283"/>
              <w:jc w:val="left"/>
            </w:pPr>
            <w:r>
              <w:t> </w:t>
            </w:r>
          </w:p>
        </w:tc>
        <w:tc>
          <w:tcPr>
            <w:tcW w:w="1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pPr>
            <w:r>
              <w:t> </w:t>
            </w:r>
          </w:p>
        </w:tc>
        <w:tc>
          <w:tcPr>
            <w:tcW w:w="15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12.7% – 101.3%/80.9%</w:t>
            </w:r>
          </w:p>
        </w:tc>
        <w:tc>
          <w:tcPr>
            <w:tcW w:w="146" w:type="dxa"/>
            <w:tcBorders/>
            <w:shd w:fill="CCEEFF" w:val="clear"/>
            <w:vAlign w:val="bottom"/>
          </w:tcPr>
          <w:p>
            <w:pPr>
              <w:pStyle w:val="TableContents"/>
              <w:bidi w:val="0"/>
              <w:spacing w:before="0" w:after="283"/>
              <w:jc w:val="left"/>
            </w:pPr>
            <w:r>
              <w:t> </w:t>
            </w:r>
          </w:p>
        </w:tc>
        <w:tc>
          <w:tcPr>
            <w:tcW w:w="1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196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CLO Equity</w:t>
            </w:r>
          </w:p>
        </w:tc>
        <w:tc>
          <w:tcPr>
            <w:tcW w:w="146" w:type="dxa"/>
            <w:tcBorders/>
            <w:vAlign w:val="bottom"/>
          </w:tcPr>
          <w:p>
            <w:pPr>
              <w:pStyle w:val="TableContents"/>
              <w:bidi w:val="0"/>
              <w:spacing w:before="0" w:after="283"/>
              <w:jc w:val="left"/>
            </w:pPr>
            <w:r>
              <w:t> </w:t>
            </w:r>
          </w:p>
        </w:tc>
        <w:tc>
          <w:tcPr>
            <w:tcW w:w="4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66.7</w:t>
            </w:r>
          </w:p>
        </w:tc>
        <w:tc>
          <w:tcPr>
            <w:tcW w:w="146" w:type="dxa"/>
            <w:tcBorders/>
            <w:vAlign w:val="bottom"/>
          </w:tcPr>
          <w:p>
            <w:pPr>
              <w:pStyle w:val="TableContents"/>
              <w:bidi w:val="0"/>
              <w:spacing w:before="0" w:after="283"/>
              <w:jc w:val="left"/>
            </w:pPr>
            <w:r>
              <w:t> </w:t>
            </w:r>
          </w:p>
        </w:tc>
        <w:tc>
          <w:tcPr>
            <w:tcW w:w="1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pPr>
            <w:r>
              <w:t> </w:t>
            </w:r>
          </w:p>
        </w:tc>
        <w:tc>
          <w:tcPr>
            <w:tcW w:w="15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pPr>
            <w:r>
              <w:t> </w:t>
            </w:r>
          </w:p>
        </w:tc>
        <w:tc>
          <w:tcPr>
            <w:tcW w:w="1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55.0%/21.5%</w:t>
            </w:r>
          </w:p>
        </w:tc>
        <w:tc>
          <w:tcPr>
            <w:tcW w:w="146" w:type="dxa"/>
            <w:tcBorders/>
            <w:vAlign w:val="bottom"/>
          </w:tcPr>
          <w:p>
            <w:pPr>
              <w:pStyle w:val="TableContents"/>
              <w:bidi w:val="0"/>
              <w:spacing w:before="0" w:after="283"/>
              <w:jc w:val="left"/>
            </w:pPr>
            <w:r>
              <w:t> </w:t>
            </w:r>
          </w:p>
        </w:tc>
        <w:tc>
          <w:tcPr>
            <w:tcW w:w="1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196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17.1</w:t>
            </w:r>
          </w:p>
        </w:tc>
        <w:tc>
          <w:tcPr>
            <w:tcW w:w="146" w:type="dxa"/>
            <w:tcBorders/>
            <w:shd w:fill="CCEEFF" w:val="clear"/>
            <w:vAlign w:val="bottom"/>
          </w:tcPr>
          <w:p>
            <w:pPr>
              <w:pStyle w:val="TableContents"/>
              <w:bidi w:val="0"/>
              <w:spacing w:before="0" w:after="283"/>
              <w:jc w:val="left"/>
            </w:pPr>
            <w:r>
              <w:t> </w:t>
            </w:r>
          </w:p>
        </w:tc>
        <w:tc>
          <w:tcPr>
            <w:tcW w:w="1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Yield analysis</w:t>
            </w:r>
          </w:p>
        </w:tc>
        <w:tc>
          <w:tcPr>
            <w:tcW w:w="146" w:type="dxa"/>
            <w:tcBorders/>
            <w:shd w:fill="CCEEFF" w:val="clear"/>
            <w:vAlign w:val="bottom"/>
          </w:tcPr>
          <w:p>
            <w:pPr>
              <w:pStyle w:val="TableContents"/>
              <w:bidi w:val="0"/>
              <w:spacing w:before="0" w:after="283"/>
              <w:jc w:val="left"/>
            </w:pPr>
            <w:r>
              <w:t> </w:t>
            </w:r>
          </w:p>
        </w:tc>
        <w:tc>
          <w:tcPr>
            <w:tcW w:w="15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Yield</w:t>
            </w:r>
          </w:p>
        </w:tc>
        <w:tc>
          <w:tcPr>
            <w:tcW w:w="146"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 – 26.9%/26.7%</w:t>
            </w:r>
          </w:p>
        </w:tc>
        <w:tc>
          <w:tcPr>
            <w:tcW w:w="146" w:type="dxa"/>
            <w:tcBorders/>
            <w:shd w:fill="CCEEFF" w:val="clear"/>
            <w:vAlign w:val="bottom"/>
          </w:tcPr>
          <w:p>
            <w:pPr>
              <w:pStyle w:val="TableContents"/>
              <w:bidi w:val="0"/>
              <w:spacing w:before="0" w:after="283"/>
              <w:jc w:val="left"/>
            </w:pPr>
            <w:r>
              <w:t> </w:t>
            </w:r>
          </w:p>
        </w:tc>
        <w:tc>
          <w:tcPr>
            <w:tcW w:w="1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c>
          <w:tcPr>
            <w:tcW w:w="196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1.9</w:t>
            </w:r>
          </w:p>
        </w:tc>
        <w:tc>
          <w:tcPr>
            <w:tcW w:w="146" w:type="dxa"/>
            <w:tcBorders/>
            <w:vAlign w:val="bottom"/>
          </w:tcPr>
          <w:p>
            <w:pPr>
              <w:pStyle w:val="TableContents"/>
              <w:bidi w:val="0"/>
              <w:spacing w:before="0" w:after="283"/>
              <w:jc w:val="left"/>
            </w:pPr>
            <w:r>
              <w:t> </w:t>
            </w:r>
          </w:p>
        </w:tc>
        <w:tc>
          <w:tcPr>
            <w:tcW w:w="1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Discounted cash flow</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pPr>
            <w:r>
              <w:t> </w:t>
            </w:r>
          </w:p>
        </w:tc>
        <w:tc>
          <w:tcPr>
            <w:tcW w:w="15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 rate</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pPr>
            <w:r>
              <w:t> </w:t>
            </w:r>
          </w:p>
        </w:tc>
        <w:tc>
          <w:tcPr>
            <w:tcW w:w="1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24.8% – 33.5%/28.9%</w:t>
            </w:r>
          </w:p>
        </w:tc>
        <w:tc>
          <w:tcPr>
            <w:tcW w:w="146" w:type="dxa"/>
            <w:tcBorders/>
            <w:vAlign w:val="bottom"/>
          </w:tcPr>
          <w:p>
            <w:pPr>
              <w:pStyle w:val="TableContents"/>
              <w:bidi w:val="0"/>
              <w:spacing w:before="0" w:after="283"/>
              <w:jc w:val="left"/>
            </w:pPr>
            <w:r>
              <w:t> </w:t>
            </w:r>
          </w:p>
        </w:tc>
        <w:tc>
          <w:tcPr>
            <w:tcW w:w="1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c>
          <w:tcPr>
            <w:tcW w:w="196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0.6</w:t>
            </w:r>
          </w:p>
        </w:tc>
        <w:tc>
          <w:tcPr>
            <w:tcW w:w="146" w:type="dxa"/>
            <w:tcBorders/>
            <w:shd w:fill="CCEEFF" w:val="clear"/>
            <w:vAlign w:val="bottom"/>
          </w:tcPr>
          <w:p>
            <w:pPr>
              <w:pStyle w:val="TableContents"/>
              <w:bidi w:val="0"/>
              <w:spacing w:before="0" w:after="283"/>
              <w:jc w:val="left"/>
            </w:pPr>
            <w:r>
              <w:t> </w:t>
            </w:r>
          </w:p>
        </w:tc>
        <w:tc>
          <w:tcPr>
            <w:tcW w:w="1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Liquidation net asset value</w:t>
            </w:r>
            <w:r>
              <w:rPr>
                <w:rFonts w:ascii="Times New Roman PS Std;serif" w:hAnsi="Times New Roman PS Std;serif"/>
                <w:b w:val="false"/>
                <w:i w:val="false"/>
                <w:caps w:val="false"/>
                <w:smallCaps w:val="false"/>
                <w:sz w:val="12"/>
              </w:rPr>
              <w:t>(9)</w:t>
            </w:r>
          </w:p>
        </w:tc>
        <w:tc>
          <w:tcPr>
            <w:tcW w:w="146" w:type="dxa"/>
            <w:tcBorders/>
            <w:shd w:fill="CCEEFF" w:val="clear"/>
            <w:vAlign w:val="bottom"/>
          </w:tcPr>
          <w:p>
            <w:pPr>
              <w:pStyle w:val="TableContents"/>
              <w:bidi w:val="0"/>
              <w:spacing w:before="0" w:after="283"/>
              <w:jc w:val="left"/>
            </w:pPr>
            <w:r>
              <w:t> </w:t>
            </w:r>
          </w:p>
        </w:tc>
        <w:tc>
          <w:tcPr>
            <w:tcW w:w="15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8.9%/2.9%</w:t>
            </w:r>
          </w:p>
        </w:tc>
        <w:tc>
          <w:tcPr>
            <w:tcW w:w="146" w:type="dxa"/>
            <w:tcBorders/>
            <w:shd w:fill="CCEEFF" w:val="clear"/>
            <w:vAlign w:val="bottom"/>
          </w:tcPr>
          <w:p>
            <w:pPr>
              <w:pStyle w:val="TableContents"/>
              <w:bidi w:val="0"/>
              <w:spacing w:before="0" w:after="283"/>
              <w:jc w:val="left"/>
            </w:pPr>
            <w:r>
              <w:t> </w:t>
            </w:r>
          </w:p>
        </w:tc>
        <w:tc>
          <w:tcPr>
            <w:tcW w:w="1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1967"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Equity/Other Investments</w:t>
            </w:r>
          </w:p>
        </w:tc>
        <w:tc>
          <w:tcPr>
            <w:tcW w:w="146" w:type="dxa"/>
            <w:tcBorders/>
            <w:vAlign w:val="bottom"/>
          </w:tcPr>
          <w:p>
            <w:pPr>
              <w:pStyle w:val="TableContents"/>
              <w:bidi w:val="0"/>
              <w:spacing w:before="0" w:after="283"/>
              <w:jc w:val="left"/>
            </w:pPr>
            <w:r>
              <w:t> </w:t>
            </w:r>
          </w:p>
        </w:tc>
        <w:tc>
          <w:tcPr>
            <w:tcW w:w="4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12.3</w:t>
            </w:r>
          </w:p>
        </w:tc>
        <w:tc>
          <w:tcPr>
            <w:tcW w:w="146" w:type="dxa"/>
            <w:tcBorders/>
            <w:vAlign w:val="bottom"/>
          </w:tcPr>
          <w:p>
            <w:pPr>
              <w:pStyle w:val="TableContents"/>
              <w:bidi w:val="0"/>
              <w:spacing w:before="0" w:after="283"/>
              <w:jc w:val="left"/>
            </w:pPr>
            <w:r>
              <w:t> </w:t>
            </w:r>
          </w:p>
        </w:tc>
        <w:tc>
          <w:tcPr>
            <w:tcW w:w="1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vAlign w:val="bottom"/>
          </w:tcPr>
          <w:p>
            <w:pPr>
              <w:pStyle w:val="TableContents"/>
              <w:bidi w:val="0"/>
              <w:spacing w:before="0" w:after="283"/>
              <w:jc w:val="left"/>
            </w:pPr>
            <w:r>
              <w:t> </w:t>
            </w:r>
          </w:p>
        </w:tc>
        <w:tc>
          <w:tcPr>
            <w:tcW w:w="15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pPr>
            <w:r>
              <w:t> </w:t>
            </w:r>
          </w:p>
        </w:tc>
        <w:tc>
          <w:tcPr>
            <w:tcW w:w="1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24.2% – 111.2%/44.5%</w:t>
            </w:r>
          </w:p>
        </w:tc>
        <w:tc>
          <w:tcPr>
            <w:tcW w:w="146" w:type="dxa"/>
            <w:tcBorders/>
            <w:vAlign w:val="bottom"/>
          </w:tcPr>
          <w:p>
            <w:pPr>
              <w:pStyle w:val="TableContents"/>
              <w:bidi w:val="0"/>
              <w:spacing w:before="0" w:after="283"/>
              <w:jc w:val="left"/>
            </w:pPr>
            <w:r>
              <w:t> </w:t>
            </w:r>
          </w:p>
        </w:tc>
        <w:tc>
          <w:tcPr>
            <w:tcW w:w="1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196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6.8</w:t>
            </w:r>
          </w:p>
        </w:tc>
        <w:tc>
          <w:tcPr>
            <w:tcW w:w="146" w:type="dxa"/>
            <w:tcBorders/>
            <w:shd w:fill="CCEEFF" w:val="clear"/>
            <w:vAlign w:val="bottom"/>
          </w:tcPr>
          <w:p>
            <w:pPr>
              <w:pStyle w:val="TableContents"/>
              <w:bidi w:val="0"/>
              <w:spacing w:before="0" w:after="283"/>
              <w:jc w:val="left"/>
            </w:pPr>
            <w:r>
              <w:t> </w:t>
            </w:r>
          </w:p>
        </w:tc>
        <w:tc>
          <w:tcPr>
            <w:tcW w:w="17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Enterprise value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52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Market multiples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9.5x – 10.5x/10.0x</w:t>
            </w:r>
          </w:p>
        </w:tc>
        <w:tc>
          <w:tcPr>
            <w:tcW w:w="146" w:type="dxa"/>
            <w:tcBorders/>
            <w:shd w:fill="CCEEFF" w:val="clear"/>
            <w:vAlign w:val="bottom"/>
          </w:tcPr>
          <w:p>
            <w:pPr>
              <w:pStyle w:val="TableContents"/>
              <w:bidi w:val="0"/>
              <w:spacing w:before="0" w:after="283"/>
              <w:jc w:val="left"/>
            </w:pPr>
            <w:r>
              <w:t> </w:t>
            </w:r>
          </w:p>
        </w:tc>
        <w:tc>
          <w:tcPr>
            <w:tcW w:w="12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196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w:t>
            </w:r>
          </w:p>
        </w:tc>
        <w:tc>
          <w:tcPr>
            <w:tcW w:w="146" w:type="dxa"/>
            <w:tcBorders/>
            <w:vAlign w:val="bottom"/>
          </w:tcPr>
          <w:p>
            <w:pPr>
              <w:pStyle w:val="TableContents"/>
              <w:bidi w:val="0"/>
              <w:spacing w:before="0" w:after="283"/>
              <w:jc w:val="left"/>
            </w:pPr>
            <w:r>
              <w:t> </w:t>
            </w:r>
          </w:p>
        </w:tc>
        <w:tc>
          <w:tcPr>
            <w:tcW w:w="17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pPr>
            <w:r>
              <w:t> </w:t>
            </w:r>
          </w:p>
        </w:tc>
        <w:tc>
          <w:tcPr>
            <w:tcW w:w="152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pPr>
            <w:r>
              <w:t> </w:t>
            </w:r>
          </w:p>
        </w:tc>
        <w:tc>
          <w:tcPr>
            <w:tcW w:w="15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$0.00 – $40.00/$1.28</w:t>
            </w:r>
          </w:p>
        </w:tc>
        <w:tc>
          <w:tcPr>
            <w:tcW w:w="146" w:type="dxa"/>
            <w:tcBorders/>
            <w:vAlign w:val="bottom"/>
          </w:tcPr>
          <w:p>
            <w:pPr>
              <w:pStyle w:val="TableContents"/>
              <w:bidi w:val="0"/>
              <w:spacing w:before="0" w:after="283"/>
              <w:jc w:val="left"/>
            </w:pPr>
            <w:r>
              <w:t> </w:t>
            </w:r>
          </w:p>
        </w:tc>
        <w:tc>
          <w:tcPr>
            <w:tcW w:w="12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1967"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Total Fair Value for Level 3 Investments</w:t>
            </w:r>
            <w:r>
              <w:rPr>
                <w:rFonts w:ascii="Times New Roman PS Std;serif" w:hAnsi="Times New Roman PS Std;serif"/>
                <w:b w:val="false"/>
                <w:i w:val="false"/>
                <w:caps w:val="false"/>
                <w:smallCaps w:val="false"/>
                <w:sz w:val="12"/>
              </w:rPr>
              <w:t>(11)</w:t>
            </w:r>
          </w:p>
        </w:tc>
        <w:tc>
          <w:tcPr>
            <w:tcW w:w="146" w:type="dxa"/>
            <w:tcBorders/>
            <w:shd w:fill="CCEEFF" w:val="clear"/>
            <w:vAlign w:val="bottom"/>
          </w:tcPr>
          <w:p>
            <w:pPr>
              <w:pStyle w:val="TableContents"/>
              <w:bidi w:val="0"/>
              <w:spacing w:before="0" w:after="283"/>
              <w:jc w:val="left"/>
            </w:pPr>
            <w:r>
              <w:t> </w:t>
            </w:r>
          </w:p>
        </w:tc>
        <w:tc>
          <w:tcPr>
            <w:tcW w:w="4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260.1</w:t>
            </w:r>
          </w:p>
        </w:tc>
        <w:tc>
          <w:tcPr>
            <w:tcW w:w="146" w:type="dxa"/>
            <w:tcBorders/>
            <w:shd w:fill="CCEEFF" w:val="clear"/>
            <w:vAlign w:val="bottom"/>
          </w:tcPr>
          <w:p>
            <w:pPr>
              <w:pStyle w:val="TableContents"/>
              <w:bidi w:val="0"/>
              <w:spacing w:before="0" w:after="283"/>
              <w:jc w:val="left"/>
            </w:pPr>
            <w:r>
              <w:t> </w:t>
            </w:r>
          </w:p>
        </w:tc>
        <w:tc>
          <w:tcPr>
            <w:tcW w:w="171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2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17"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241" w:type="dxa"/>
            <w:tcBorders/>
            <w:shd w:fill="CCEEFF" w:val="clear"/>
            <w:vAlign w:val="bottom"/>
          </w:tcPr>
          <w:p>
            <w:pPr>
              <w:pStyle w:val="TableContents"/>
              <w:bidi w:val="0"/>
              <w:spacing w:before="0" w:after="283"/>
              <w:jc w:val="left"/>
            </w:pPr>
            <w: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 refer to the input (often derived from the value of a comparable company) that is multiplied by the historic and/or expected EBITDA of a company in order to estimate the company’s value. An increase in the market multiples, in isolation, would result in an increase in the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calculation of weighted average for a range of values, for a single investment within a given asset category, is not considered to provide a meaningful representation (“ncm”).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Discount rate represents the rate at which future cash flows are discounted to calculate a present value, reflecting market assumptions for risk.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Market multiples represent an estimation of where market participants might value an enterprise based upon information available for comparable companies in the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fair value of those CLO equity positions which have been optionally redeemed are generally valued using a liquidation net asset value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Prices provided by independent pricing services are evaluated in conjunction with actual trades and payoffs and, in certain cases, the value represented by actual trades or payoffs may be more representative of fair value as determined by the Valuation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Totals may not sum due to rounding.</w:t>
      </w:r>
    </w:p>
    <w:tbl>
      <w:tblPr>
        <w:tblW w:w="10205" w:type="dxa"/>
        <w:jc w:val="left"/>
        <w:tblInd w:w="0" w:type="dxa"/>
        <w:tblLayout w:type="fixed"/>
        <w:tblCellMar>
          <w:top w:w="0" w:type="dxa"/>
          <w:left w:w="0" w:type="dxa"/>
          <w:bottom w:w="0" w:type="dxa"/>
          <w:right w:w="0" w:type="dxa"/>
        </w:tblCellMar>
      </w:tblPr>
      <w:tblGrid>
        <w:gridCol w:w="2318"/>
        <w:gridCol w:w="146"/>
        <w:gridCol w:w="415"/>
        <w:gridCol w:w="1026"/>
        <w:gridCol w:w="146"/>
        <w:gridCol w:w="1684"/>
        <w:gridCol w:w="146"/>
        <w:gridCol w:w="1518"/>
        <w:gridCol w:w="146"/>
        <w:gridCol w:w="1497"/>
        <w:gridCol w:w="146"/>
        <w:gridCol w:w="1017"/>
      </w:tblGrid>
      <w:tr>
        <w:tc>
          <w:tcPr>
            <w:tcW w:w="231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6578"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Quantitative Information about Level 3 Fair Value Measurements</w:t>
            </w:r>
          </w:p>
        </w:tc>
        <w:tc>
          <w:tcPr>
            <w:tcW w:w="146" w:type="dxa"/>
            <w:tcBorders/>
            <w:vAlign w:val="bottom"/>
          </w:tcPr>
          <w:p>
            <w:pPr>
              <w:pStyle w:val="TableContents"/>
              <w:bidi w:val="0"/>
              <w:spacing w:before="0" w:after="283"/>
              <w:jc w:val="left"/>
            </w:pPr>
            <w:r>
              <w:t> </w:t>
            </w:r>
          </w:p>
        </w:tc>
        <w:tc>
          <w:tcPr>
            <w:tcW w:w="1017" w:type="dxa"/>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Impact to </w:t>
              <w:br/>
              <w:t xml:space="preserve">Fair Value </w:t>
              <w:br/>
              <w:t>from 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 xml:space="preserve">Increase </w:t>
              <w:br/>
              <w:t>in</w:t>
            </w:r>
            <w:r>
              <w:rPr>
                <w:rFonts w:ascii="Times New Roman PS Std;serif" w:hAnsi="Times New Roman PS Std;serif"/>
                <w:b/>
                <w:i w:val="false"/>
                <w:caps w:val="false"/>
                <w:smallCaps w:val="false"/>
                <w:sz w:val="18"/>
              </w:rPr>
              <w:t xml:space="preserve"> </w:t>
            </w:r>
            <w:r>
              <w:rPr>
                <w:rFonts w:ascii="Times New Roman PS Std;serif" w:hAnsi="Times New Roman PS Std;serif"/>
                <w:b/>
                <w:i w:val="false"/>
                <w:caps w:val="false"/>
                <w:smallCaps w:val="false"/>
                <w:sz w:val="16"/>
              </w:rPr>
              <w:t>Input</w:t>
            </w:r>
            <w:r>
              <w:rPr>
                <w:rFonts w:ascii="Times New Roman PS Std;serif" w:hAnsi="Times New Roman PS Std;serif"/>
                <w:b/>
                <w:i w:val="false"/>
                <w:caps w:val="false"/>
                <w:smallCaps w:val="false"/>
                <w:sz w:val="12"/>
              </w:rPr>
              <w:t>(2)</w:t>
            </w:r>
          </w:p>
        </w:tc>
      </w:tr>
      <w:tr>
        <w:tc>
          <w:tcPr>
            <w:tcW w:w="231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Assets ($ in millions)</w:t>
            </w:r>
          </w:p>
        </w:tc>
        <w:tc>
          <w:tcPr>
            <w:tcW w:w="146" w:type="dxa"/>
            <w:tcBorders/>
            <w:vAlign w:val="bottom"/>
          </w:tcPr>
          <w:p>
            <w:pPr>
              <w:pStyle w:val="TableContents"/>
              <w:bidi w:val="0"/>
              <w:spacing w:before="0" w:after="283"/>
              <w:jc w:val="left"/>
            </w:pPr>
            <w: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Fair Value</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as of</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December 31,</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2025</w:t>
            </w:r>
          </w:p>
        </w:tc>
        <w:tc>
          <w:tcPr>
            <w:tcW w:w="146" w:type="dxa"/>
            <w:tcBorders/>
            <w:vAlign w:val="bottom"/>
          </w:tcPr>
          <w:p>
            <w:pPr>
              <w:pStyle w:val="TableContents"/>
              <w:bidi w:val="0"/>
              <w:spacing w:before="0" w:after="283"/>
              <w:jc w:val="left"/>
            </w:pPr>
            <w:r>
              <w:t> </w:t>
            </w:r>
          </w:p>
        </w:tc>
        <w:tc>
          <w:tcPr>
            <w:tcW w:w="168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Valuation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Techniques/Methodologies</w:t>
            </w:r>
          </w:p>
        </w:tc>
        <w:tc>
          <w:tcPr>
            <w:tcW w:w="146" w:type="dxa"/>
            <w:tcBorders/>
            <w:vAlign w:val="bottom"/>
          </w:tcPr>
          <w:p>
            <w:pPr>
              <w:pStyle w:val="TableContents"/>
              <w:bidi w:val="0"/>
              <w:spacing w:before="0" w:after="283"/>
              <w:jc w:val="left"/>
            </w:pPr>
            <w:r>
              <w:t> </w:t>
            </w:r>
          </w:p>
        </w:tc>
        <w:tc>
          <w:tcPr>
            <w:tcW w:w="1518"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Unobservable </w:t>
              <w:br/>
              <w:t>Input</w:t>
            </w:r>
          </w:p>
        </w:tc>
        <w:tc>
          <w:tcPr>
            <w:tcW w:w="146" w:type="dxa"/>
            <w:tcBorders/>
            <w:vAlign w:val="bottom"/>
          </w:tcPr>
          <w:p>
            <w:pPr>
              <w:pStyle w:val="TableContents"/>
              <w:bidi w:val="0"/>
              <w:spacing w:before="0" w:after="283"/>
              <w:jc w:val="left"/>
            </w:pPr>
            <w:r>
              <w:t> </w:t>
            </w:r>
          </w:p>
        </w:tc>
        <w:tc>
          <w:tcPr>
            <w:tcW w:w="149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Range/Weighted</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Average</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pPr>
            <w:r>
              <w:t> </w:t>
            </w:r>
          </w:p>
        </w:tc>
        <w:tc>
          <w:tcPr>
            <w:tcW w:w="1017" w:type="dxa"/>
            <w:vMerge w:val="continue"/>
            <w:tcBorders/>
            <w:vAlign w:val="bottom"/>
          </w:tcPr>
          <w:p>
            <w:pPr>
              <w:pStyle w:val="Normal"/>
              <w:bidi w:val="0"/>
              <w:jc w:val="left"/>
            </w:pPr>
            <w:r/>
          </w:p>
        </w:tc>
      </w:tr>
      <w:tr>
        <w:tc>
          <w:tcPr>
            <w:tcW w:w="231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Senior Secured Notes</w:t>
            </w:r>
          </w:p>
        </w:tc>
        <w:tc>
          <w:tcPr>
            <w:tcW w:w="146" w:type="dxa"/>
            <w:tcBorders/>
            <w:shd w:fill="CCEEFF" w:val="clear"/>
            <w:vAlign w:val="bottom"/>
          </w:tcPr>
          <w:p>
            <w:pPr>
              <w:pStyle w:val="TableContents"/>
              <w:bidi w:val="0"/>
              <w:spacing w:before="0" w:after="283"/>
              <w:jc w:val="left"/>
            </w:pPr>
            <w:r>
              <w:t> </w:t>
            </w:r>
          </w:p>
        </w:tc>
        <w:tc>
          <w:tcPr>
            <w:tcW w:w="41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147.3</w:t>
            </w:r>
          </w:p>
        </w:tc>
        <w:tc>
          <w:tcPr>
            <w:tcW w:w="146" w:type="dxa"/>
            <w:tcBorders/>
            <w:shd w:fill="CCEEFF" w:val="clear"/>
            <w:vAlign w:val="bottom"/>
          </w:tcPr>
          <w:p>
            <w:pPr>
              <w:pStyle w:val="TableContents"/>
              <w:bidi w:val="0"/>
              <w:spacing w:before="0" w:after="283"/>
              <w:jc w:val="left"/>
            </w:pPr>
            <w:r>
              <w:t> </w:t>
            </w:r>
          </w:p>
        </w:tc>
        <w:tc>
          <w:tcPr>
            <w:tcW w:w="1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pPr>
            <w:r>
              <w:t> </w:t>
            </w:r>
          </w:p>
        </w:tc>
        <w:tc>
          <w:tcPr>
            <w:tcW w:w="15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pPr>
            <w:r>
              <w:t> </w:t>
            </w:r>
          </w:p>
        </w:tc>
        <w:tc>
          <w:tcPr>
            <w:tcW w:w="14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18.2% – 100.6%/78.3%</w:t>
            </w:r>
          </w:p>
        </w:tc>
        <w:tc>
          <w:tcPr>
            <w:tcW w:w="146" w:type="dxa"/>
            <w:tcBorders/>
            <w:shd w:fill="CCEEFF" w:val="clear"/>
            <w:vAlign w:val="bottom"/>
          </w:tcPr>
          <w:p>
            <w:pPr>
              <w:pStyle w:val="TableContents"/>
              <w:bidi w:val="0"/>
              <w:spacing w:before="0" w:after="283"/>
              <w:jc w:val="left"/>
            </w:pPr>
            <w:r>
              <w:t> </w:t>
            </w:r>
          </w:p>
        </w:tc>
        <w:tc>
          <w:tcPr>
            <w:tcW w:w="10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231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CLO Equity</w:t>
            </w:r>
          </w:p>
        </w:tc>
        <w:tc>
          <w:tcPr>
            <w:tcW w:w="146" w:type="dxa"/>
            <w:tcBorders/>
            <w:vAlign w:val="bottom"/>
          </w:tcPr>
          <w:p>
            <w:pPr>
              <w:pStyle w:val="TableContents"/>
              <w:bidi w:val="0"/>
              <w:spacing w:before="0" w:after="283"/>
              <w:jc w:val="left"/>
            </w:pPr>
            <w: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91.2</w:t>
            </w:r>
          </w:p>
        </w:tc>
        <w:tc>
          <w:tcPr>
            <w:tcW w:w="146" w:type="dxa"/>
            <w:tcBorders/>
            <w:vAlign w:val="bottom"/>
          </w:tcPr>
          <w:p>
            <w:pPr>
              <w:pStyle w:val="TableContents"/>
              <w:bidi w:val="0"/>
              <w:spacing w:before="0" w:after="283"/>
              <w:jc w:val="left"/>
            </w:pPr>
            <w:r>
              <w:t> </w:t>
            </w:r>
          </w:p>
        </w:tc>
        <w:tc>
          <w:tcPr>
            <w:tcW w:w="16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vAlign w:val="bottom"/>
          </w:tcPr>
          <w:p>
            <w:pPr>
              <w:pStyle w:val="TableContents"/>
              <w:bidi w:val="0"/>
              <w:spacing w:before="0" w:after="283"/>
              <w:jc w:val="left"/>
            </w:pPr>
            <w:r>
              <w:t> </w:t>
            </w:r>
          </w:p>
        </w:tc>
        <w:tc>
          <w:tcPr>
            <w:tcW w:w="15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pPr>
            <w:r>
              <w:t> </w:t>
            </w:r>
          </w:p>
        </w:tc>
        <w:tc>
          <w:tcPr>
            <w:tcW w:w="14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67.0%/27.4%</w:t>
            </w:r>
          </w:p>
        </w:tc>
        <w:tc>
          <w:tcPr>
            <w:tcW w:w="146" w:type="dxa"/>
            <w:tcBorders/>
            <w:vAlign w:val="bottom"/>
          </w:tcPr>
          <w:p>
            <w:pPr>
              <w:pStyle w:val="TableContents"/>
              <w:bidi w:val="0"/>
              <w:spacing w:before="0" w:after="283"/>
              <w:jc w:val="left"/>
            </w:pPr>
            <w:r>
              <w:t> </w:t>
            </w:r>
          </w:p>
        </w:tc>
        <w:tc>
          <w:tcPr>
            <w:tcW w:w="10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2318"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2.1</w:t>
            </w:r>
          </w:p>
        </w:tc>
        <w:tc>
          <w:tcPr>
            <w:tcW w:w="146" w:type="dxa"/>
            <w:tcBorders/>
            <w:shd w:fill="CCEEFF" w:val="clear"/>
            <w:vAlign w:val="bottom"/>
          </w:tcPr>
          <w:p>
            <w:pPr>
              <w:pStyle w:val="TableContents"/>
              <w:bidi w:val="0"/>
              <w:spacing w:before="0" w:after="283"/>
              <w:jc w:val="left"/>
            </w:pPr>
            <w:r>
              <w:t> </w:t>
            </w:r>
          </w:p>
        </w:tc>
        <w:tc>
          <w:tcPr>
            <w:tcW w:w="1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Discounted cash flow</w:t>
            </w:r>
            <w:r>
              <w:rPr>
                <w:rFonts w:ascii="Times New Roman PS Std;serif" w:hAnsi="Times New Roman PS Std;serif"/>
                <w:b w:val="false"/>
                <w:i w:val="false"/>
                <w:caps w:val="false"/>
                <w:smallCaps w:val="false"/>
                <w:sz w:val="12"/>
              </w:rPr>
              <w:t>(5)</w:t>
            </w:r>
          </w:p>
        </w:tc>
        <w:tc>
          <w:tcPr>
            <w:tcW w:w="146" w:type="dxa"/>
            <w:tcBorders/>
            <w:shd w:fill="CCEEFF" w:val="clear"/>
            <w:vAlign w:val="bottom"/>
          </w:tcPr>
          <w:p>
            <w:pPr>
              <w:pStyle w:val="TableContents"/>
              <w:bidi w:val="0"/>
              <w:spacing w:before="0" w:after="283"/>
              <w:jc w:val="left"/>
            </w:pPr>
            <w:r>
              <w:t> </w:t>
            </w:r>
          </w:p>
        </w:tc>
        <w:tc>
          <w:tcPr>
            <w:tcW w:w="15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Discount rate</w:t>
            </w:r>
            <w:r>
              <w:rPr>
                <w:rFonts w:ascii="Times New Roman PS Std;serif" w:hAnsi="Times New Roman PS Std;serif"/>
                <w:b w:val="false"/>
                <w:i w:val="false"/>
                <w:caps w:val="false"/>
                <w:smallCaps w:val="false"/>
                <w:sz w:val="12"/>
              </w:rPr>
              <w:t>(6)</w:t>
            </w:r>
          </w:p>
        </w:tc>
        <w:tc>
          <w:tcPr>
            <w:tcW w:w="146" w:type="dxa"/>
            <w:tcBorders/>
            <w:shd w:fill="CCEEFF" w:val="clear"/>
            <w:vAlign w:val="bottom"/>
          </w:tcPr>
          <w:p>
            <w:pPr>
              <w:pStyle w:val="TableContents"/>
              <w:bidi w:val="0"/>
              <w:spacing w:before="0" w:after="283"/>
              <w:jc w:val="left"/>
            </w:pPr>
            <w:r>
              <w:t> </w:t>
            </w:r>
          </w:p>
        </w:tc>
        <w:tc>
          <w:tcPr>
            <w:tcW w:w="14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14.5% – 25.9%/22.3%</w:t>
            </w:r>
          </w:p>
        </w:tc>
        <w:tc>
          <w:tcPr>
            <w:tcW w:w="146" w:type="dxa"/>
            <w:tcBorders/>
            <w:shd w:fill="CCEEFF" w:val="clear"/>
            <w:vAlign w:val="bottom"/>
          </w:tcPr>
          <w:p>
            <w:pPr>
              <w:pStyle w:val="TableContents"/>
              <w:bidi w:val="0"/>
              <w:spacing w:before="0" w:after="283"/>
              <w:jc w:val="left"/>
            </w:pPr>
            <w:r>
              <w:t> </w:t>
            </w:r>
          </w:p>
        </w:tc>
        <w:tc>
          <w:tcPr>
            <w:tcW w:w="10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Decrease</w:t>
            </w:r>
          </w:p>
        </w:tc>
      </w:tr>
      <w:tr>
        <w:tc>
          <w:tcPr>
            <w:tcW w:w="231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w:t>
            </w:r>
          </w:p>
        </w:tc>
        <w:tc>
          <w:tcPr>
            <w:tcW w:w="146" w:type="dxa"/>
            <w:tcBorders/>
            <w:vAlign w:val="bottom"/>
          </w:tcPr>
          <w:p>
            <w:pPr>
              <w:pStyle w:val="TableContents"/>
              <w:bidi w:val="0"/>
              <w:spacing w:before="0" w:after="283"/>
              <w:jc w:val="left"/>
            </w:pPr>
            <w:r>
              <w:t> </w:t>
            </w:r>
          </w:p>
        </w:tc>
        <w:tc>
          <w:tcPr>
            <w:tcW w:w="16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Liquidation net asset value</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pPr>
            <w:r>
              <w:t> </w:t>
            </w:r>
          </w:p>
        </w:tc>
        <w:tc>
          <w:tcPr>
            <w:tcW w:w="15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pPr>
            <w:r>
              <w:t> </w:t>
            </w:r>
          </w:p>
        </w:tc>
        <w:tc>
          <w:tcPr>
            <w:tcW w:w="14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0.0% – 33.0%/4.8%</w:t>
            </w:r>
          </w:p>
        </w:tc>
        <w:tc>
          <w:tcPr>
            <w:tcW w:w="146" w:type="dxa"/>
            <w:tcBorders/>
            <w:vAlign w:val="bottom"/>
          </w:tcPr>
          <w:p>
            <w:pPr>
              <w:pStyle w:val="TableContents"/>
              <w:bidi w:val="0"/>
              <w:spacing w:before="0" w:after="283"/>
              <w:jc w:val="left"/>
            </w:pPr>
            <w:r>
              <w:t> </w:t>
            </w:r>
          </w:p>
        </w:tc>
        <w:tc>
          <w:tcPr>
            <w:tcW w:w="10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2318"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Equity and Other Investments</w:t>
            </w:r>
          </w:p>
        </w:tc>
        <w:tc>
          <w:tcPr>
            <w:tcW w:w="146" w:type="dxa"/>
            <w:tcBorders/>
            <w:shd w:fill="CCEEFF" w:val="clear"/>
            <w:vAlign w:val="bottom"/>
          </w:tcPr>
          <w:p>
            <w:pPr>
              <w:pStyle w:val="TableContents"/>
              <w:bidi w:val="0"/>
              <w:spacing w:before="0" w:after="283"/>
              <w:jc w:val="left"/>
            </w:pPr>
            <w: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0.4</w:t>
            </w:r>
          </w:p>
        </w:tc>
        <w:tc>
          <w:tcPr>
            <w:tcW w:w="146" w:type="dxa"/>
            <w:tcBorders/>
            <w:shd w:fill="CCEEFF" w:val="clear"/>
            <w:vAlign w:val="bottom"/>
          </w:tcPr>
          <w:p>
            <w:pPr>
              <w:pStyle w:val="TableContents"/>
              <w:bidi w:val="0"/>
              <w:spacing w:before="0" w:after="283"/>
              <w:jc w:val="left"/>
            </w:pPr>
            <w:r>
              <w:t> </w:t>
            </w:r>
          </w:p>
        </w:tc>
        <w:tc>
          <w:tcPr>
            <w:tcW w:w="1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Market quotes</w:t>
            </w:r>
          </w:p>
        </w:tc>
        <w:tc>
          <w:tcPr>
            <w:tcW w:w="146" w:type="dxa"/>
            <w:tcBorders/>
            <w:shd w:fill="CCEEFF" w:val="clear"/>
            <w:vAlign w:val="bottom"/>
          </w:tcPr>
          <w:p>
            <w:pPr>
              <w:pStyle w:val="TableContents"/>
              <w:bidi w:val="0"/>
              <w:spacing w:before="0" w:after="283"/>
              <w:jc w:val="left"/>
            </w:pPr>
            <w:r>
              <w:t> </w:t>
            </w:r>
          </w:p>
        </w:tc>
        <w:tc>
          <w:tcPr>
            <w:tcW w:w="15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NBIB</w:t>
            </w:r>
            <w:r>
              <w:rPr>
                <w:rFonts w:ascii="Times New Roman PS Std;serif" w:hAnsi="Times New Roman PS Std;serif"/>
                <w:b w:val="false"/>
                <w:i w:val="false"/>
                <w:caps w:val="false"/>
                <w:smallCaps w:val="false"/>
                <w:sz w:val="12"/>
              </w:rPr>
              <w:t>(3)</w:t>
            </w:r>
          </w:p>
        </w:tc>
        <w:tc>
          <w:tcPr>
            <w:tcW w:w="146" w:type="dxa"/>
            <w:tcBorders/>
            <w:shd w:fill="CCEEFF" w:val="clear"/>
            <w:vAlign w:val="bottom"/>
          </w:tcPr>
          <w:p>
            <w:pPr>
              <w:pStyle w:val="TableContents"/>
              <w:bidi w:val="0"/>
              <w:spacing w:before="0" w:after="283"/>
              <w:jc w:val="left"/>
            </w:pPr>
            <w:r>
              <w:t> </w:t>
            </w:r>
          </w:p>
        </w:tc>
        <w:tc>
          <w:tcPr>
            <w:tcW w:w="14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$3.75/ncm</w:t>
            </w:r>
            <w:r>
              <w:rPr>
                <w:rFonts w:ascii="Times New Roman PS Std;serif" w:hAnsi="Times New Roman PS Std;serif"/>
                <w:b w:val="false"/>
                <w:i w:val="false"/>
                <w:caps w:val="false"/>
                <w:smallCaps w:val="false"/>
                <w:sz w:val="12"/>
              </w:rPr>
              <w:t>(4)</w:t>
            </w:r>
          </w:p>
        </w:tc>
        <w:tc>
          <w:tcPr>
            <w:tcW w:w="146" w:type="dxa"/>
            <w:tcBorders/>
            <w:shd w:fill="CCEEFF" w:val="clear"/>
            <w:vAlign w:val="bottom"/>
          </w:tcPr>
          <w:p>
            <w:pPr>
              <w:pStyle w:val="TableContents"/>
              <w:bidi w:val="0"/>
              <w:spacing w:before="0" w:after="283"/>
              <w:jc w:val="left"/>
            </w:pPr>
            <w:r>
              <w:t> </w:t>
            </w:r>
          </w:p>
        </w:tc>
        <w:tc>
          <w:tcPr>
            <w:tcW w:w="10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231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w:t>
            </w:r>
          </w:p>
        </w:tc>
        <w:tc>
          <w:tcPr>
            <w:tcW w:w="146" w:type="dxa"/>
            <w:tcBorders/>
            <w:vAlign w:val="bottom"/>
          </w:tcPr>
          <w:p>
            <w:pPr>
              <w:pStyle w:val="TableContents"/>
              <w:bidi w:val="0"/>
              <w:spacing w:before="0" w:after="283"/>
              <w:jc w:val="left"/>
            </w:pPr>
            <w:r>
              <w:t> </w:t>
            </w:r>
          </w:p>
        </w:tc>
        <w:tc>
          <w:tcPr>
            <w:tcW w:w="16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Recent Transactions</w:t>
            </w:r>
          </w:p>
        </w:tc>
        <w:tc>
          <w:tcPr>
            <w:tcW w:w="146" w:type="dxa"/>
            <w:tcBorders/>
            <w:vAlign w:val="bottom"/>
          </w:tcPr>
          <w:p>
            <w:pPr>
              <w:pStyle w:val="TableContents"/>
              <w:bidi w:val="0"/>
              <w:spacing w:before="0" w:after="283"/>
              <w:jc w:val="left"/>
            </w:pPr>
            <w:r>
              <w:t> </w:t>
            </w:r>
          </w:p>
        </w:tc>
        <w:tc>
          <w:tcPr>
            <w:tcW w:w="151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Actual trade/payoff</w:t>
            </w:r>
            <w:r>
              <w:rPr>
                <w:rFonts w:ascii="Times New Roman PS Std;serif" w:hAnsi="Times New Roman PS Std;serif"/>
                <w:b w:val="false"/>
                <w:i w:val="false"/>
                <w:caps w:val="false"/>
                <w:smallCaps w:val="false"/>
                <w:sz w:val="12"/>
              </w:rPr>
              <w:t>(10)</w:t>
            </w:r>
          </w:p>
        </w:tc>
        <w:tc>
          <w:tcPr>
            <w:tcW w:w="146" w:type="dxa"/>
            <w:tcBorders/>
            <w:vAlign w:val="bottom"/>
          </w:tcPr>
          <w:p>
            <w:pPr>
              <w:pStyle w:val="TableContents"/>
              <w:bidi w:val="0"/>
              <w:spacing w:before="0" w:after="283"/>
              <w:jc w:val="left"/>
            </w:pPr>
            <w:r>
              <w:t> </w:t>
            </w:r>
          </w:p>
        </w:tc>
        <w:tc>
          <w:tcPr>
            <w:tcW w:w="149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100.0%/ncm</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pPr>
            <w:r>
              <w:t> </w:t>
            </w:r>
          </w:p>
        </w:tc>
        <w:tc>
          <w:tcPr>
            <w:tcW w:w="101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2318"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1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5.0</w:t>
            </w:r>
          </w:p>
        </w:tc>
        <w:tc>
          <w:tcPr>
            <w:tcW w:w="146" w:type="dxa"/>
            <w:tcBorders/>
            <w:shd w:fill="CCEEFF" w:val="clear"/>
            <w:vAlign w:val="bottom"/>
          </w:tcPr>
          <w:p>
            <w:pPr>
              <w:pStyle w:val="TableContents"/>
              <w:bidi w:val="0"/>
              <w:spacing w:before="0" w:after="283"/>
              <w:jc w:val="left"/>
            </w:pPr>
            <w:r>
              <w:t> </w:t>
            </w:r>
          </w:p>
        </w:tc>
        <w:tc>
          <w:tcPr>
            <w:tcW w:w="168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Enterprise value</w:t>
            </w:r>
            <w:r>
              <w:rPr>
                <w:rFonts w:ascii="Times New Roman PS Std;serif" w:hAnsi="Times New Roman PS Std;serif"/>
                <w:b w:val="false"/>
                <w:i w:val="false"/>
                <w:caps w:val="false"/>
                <w:smallCaps w:val="false"/>
                <w:sz w:val="12"/>
              </w:rPr>
              <w:t>(7)</w:t>
            </w:r>
          </w:p>
        </w:tc>
        <w:tc>
          <w:tcPr>
            <w:tcW w:w="146" w:type="dxa"/>
            <w:tcBorders/>
            <w:shd w:fill="CCEEFF" w:val="clear"/>
            <w:vAlign w:val="bottom"/>
          </w:tcPr>
          <w:p>
            <w:pPr>
              <w:pStyle w:val="TableContents"/>
              <w:bidi w:val="0"/>
              <w:spacing w:before="0" w:after="283"/>
              <w:jc w:val="left"/>
            </w:pPr>
            <w:r>
              <w:t> </w:t>
            </w:r>
          </w:p>
        </w:tc>
        <w:tc>
          <w:tcPr>
            <w:tcW w:w="151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Market multiples</w:t>
            </w:r>
            <w:r>
              <w:rPr>
                <w:rFonts w:ascii="Times New Roman PS Std;serif" w:hAnsi="Times New Roman PS Std;serif"/>
                <w:b w:val="false"/>
                <w:i w:val="false"/>
                <w:caps w:val="false"/>
                <w:smallCaps w:val="false"/>
                <w:sz w:val="12"/>
              </w:rPr>
              <w:t>(8)</w:t>
            </w:r>
          </w:p>
        </w:tc>
        <w:tc>
          <w:tcPr>
            <w:tcW w:w="146" w:type="dxa"/>
            <w:tcBorders/>
            <w:shd w:fill="CCEEFF" w:val="clear"/>
            <w:vAlign w:val="bottom"/>
          </w:tcPr>
          <w:p>
            <w:pPr>
              <w:pStyle w:val="TableContents"/>
              <w:bidi w:val="0"/>
              <w:spacing w:before="0" w:after="283"/>
              <w:jc w:val="left"/>
            </w:pPr>
            <w:r>
              <w:t> </w:t>
            </w:r>
          </w:p>
        </w:tc>
        <w:tc>
          <w:tcPr>
            <w:tcW w:w="149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8.8x – 9.8x/9.3x</w:t>
            </w:r>
          </w:p>
        </w:tc>
        <w:tc>
          <w:tcPr>
            <w:tcW w:w="146" w:type="dxa"/>
            <w:tcBorders/>
            <w:shd w:fill="CCEEFF" w:val="clear"/>
            <w:vAlign w:val="bottom"/>
          </w:tcPr>
          <w:p>
            <w:pPr>
              <w:pStyle w:val="TableContents"/>
              <w:bidi w:val="0"/>
              <w:spacing w:before="0" w:after="283"/>
              <w:jc w:val="left"/>
            </w:pPr>
            <w:r>
              <w:t> </w:t>
            </w:r>
          </w:p>
        </w:tc>
        <w:tc>
          <w:tcPr>
            <w:tcW w:w="101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Increase</w:t>
            </w:r>
          </w:p>
        </w:tc>
      </w:tr>
      <w:tr>
        <w:tc>
          <w:tcPr>
            <w:tcW w:w="231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Total Fair Value for Level 3 Investments</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pPr>
            <w:r>
              <w:t> </w:t>
            </w:r>
          </w:p>
        </w:tc>
        <w:tc>
          <w:tcPr>
            <w:tcW w:w="41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c>
          <w:tcPr>
            <w:tcW w:w="10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251.7</w:t>
            </w:r>
          </w:p>
        </w:tc>
        <w:tc>
          <w:tcPr>
            <w:tcW w:w="146" w:type="dxa"/>
            <w:tcBorders/>
            <w:vAlign w:val="bottom"/>
          </w:tcPr>
          <w:p>
            <w:pPr>
              <w:pStyle w:val="TableContents"/>
              <w:bidi w:val="0"/>
              <w:spacing w:before="0" w:after="283"/>
              <w:jc w:val="left"/>
            </w:pPr>
            <w:r>
              <w:t> </w:t>
            </w:r>
          </w:p>
        </w:tc>
        <w:tc>
          <w:tcPr>
            <w:tcW w:w="168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1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497"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017" w:type="dxa"/>
            <w:tcBorders/>
            <w:vAlign w:val="bottom"/>
          </w:tcPr>
          <w:p>
            <w:pPr>
              <w:pStyle w:val="TableContents"/>
              <w:bidi w:val="0"/>
              <w:spacing w:before="0" w:after="283"/>
              <w:jc w:val="left"/>
            </w:pPr>
            <w: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Weighted averages are calculated based on fair value of investments.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The impact on the fair value measurement of an increase in each unobservable input is in isolation. The discount rate is the rate used to discount future cash flows in a discounted cash flow calculation. An increase in the discount rate, in isolation, would result in a decrease in the fair value measurement. Market multiples refer to the input (often derived from the value of a comparable company) that is multiplied by the historic and/or expected EBITDA of a company in order to estimate the company’s value. An increase in the market multiples, in isolation, would result in an increase in the fair value measurement.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Company generally uses prices provided by an independent pricing service, or broker or agent bank non-binding indicative bid prices (“NBIB”), on or near the valuation date as the primary basis for the fair value determinations for syndicated notes, and CLO debt and equity investments, which may be adjusted for pending equity distributions as of valuation date. These bid prices are non-binding and may not be determinative of fair value. Each bid price is evaluated by the Valuation Committee in conjunction with additional information compiled by Oxford Square Management, including financial performance, recent business developments, and, in the case of CLO debt and equity investments, performance and covenant compliance information as provided by the independent trustee.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The calculation of weighted average for a range of values, for a single investment within a given asset category, is not considered to provide a meaningful representation (“ncm”).</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Company calculates the fair value of certain CLO equity investments based upon the net present value of expected contractual payment streams discounted using estimated market yields for the equity tranche of the respective CLO vehicle. The Company also considers those investments in which the record date for an equity distribution payment falls on or before the last day of the period, and the likelihood that a prospective purchaser would require an adjustment to the transaction price representing substantially all of the pending distribution.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Discount rate represents the rate at which future cash flows are discounted to calculate a present value, reflecting market assumptions for risk.</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Enterprise value is defined as the total value of a company, including debt and cash. For senior secured notes and equity investments, third-party valuation firms evaluate the financial and operational information of the portfolio companies that the Company provides to them, as well as independent market and industry information that they consider appropriate in forming an opinion as to the fair value of the Company’s securities. In those instances where the carrying value and/or internal credit rating of the investment does not require the use of a third-party valuation firm, a valuation is prepared by Oxford Square Management, which may include liquidation analysis or which may utilize a subsequent transaction to provide an indication of fair value.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      Market multiples represent an estimation of where market participants might value an enterprise based upon information available for comparable companies in the market.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      The fair value of those CLO equity positions which have been optionally redeemed are generally valued using a liquidation net asset value basis which represents the estimated expected residual value of the CLO as of the end of the period.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    Prices provided by independent pricing services are evaluated in conjunction with actual trades and payoffs and, in certain cases, the value represented by actual trades or payoffs may be more representative of fair value as determined by the Valuation Committee.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    Totals may not sum due to rounding.</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Financial Instruments Disclosed, But Not Carried, At Fair Value</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Company’s financial liabilities disclosed, but not carried, at fair value as of September 30, 2026, and the level of each financial liability within the fair value hierarchy:</w:t>
      </w:r>
    </w:p>
    <w:tbl>
      <w:tblPr>
        <w:tblW w:w="8041" w:type="dxa"/>
        <w:jc w:val="left"/>
        <w:tblInd w:w="0" w:type="dxa"/>
        <w:tblLayout w:type="fixed"/>
        <w:tblCellMar>
          <w:top w:w="0" w:type="dxa"/>
          <w:left w:w="0" w:type="dxa"/>
          <w:bottom w:w="0" w:type="dxa"/>
          <w:right w:w="0" w:type="dxa"/>
        </w:tblCellMar>
      </w:tblPr>
      <w:tblGrid>
        <w:gridCol w:w="2446"/>
        <w:gridCol w:w="146"/>
        <w:gridCol w:w="303"/>
        <w:gridCol w:w="748"/>
        <w:gridCol w:w="146"/>
        <w:gridCol w:w="290"/>
        <w:gridCol w:w="715"/>
        <w:gridCol w:w="146"/>
        <w:gridCol w:w="400"/>
        <w:gridCol w:w="486"/>
        <w:gridCol w:w="146"/>
        <w:gridCol w:w="286"/>
        <w:gridCol w:w="706"/>
        <w:gridCol w:w="146"/>
        <w:gridCol w:w="393"/>
        <w:gridCol w:w="538"/>
      </w:tblGrid>
      <w:t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0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Value(1)</w:t>
            </w:r>
          </w:p>
        </w:tc>
        <w:tc>
          <w:tcPr>
            <w:tcW w:w="146" w:type="dxa"/>
            <w:tcBorders/>
            <w:vAlign w:val="bottom"/>
          </w:tcPr>
          <w:p>
            <w:pPr>
              <w:pStyle w:val="TableContents"/>
              <w:bidi w:val="0"/>
              <w:spacing w:before="0" w:after="283"/>
              <w:jc w:val="left"/>
            </w:pPr>
            <w:r>
              <w:t> </w:t>
            </w:r>
          </w:p>
        </w:tc>
        <w:tc>
          <w:tcPr>
            <w:tcW w:w="10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Value(2)</w:t>
            </w:r>
          </w:p>
        </w:tc>
        <w:tc>
          <w:tcPr>
            <w:tcW w:w="146" w:type="dxa"/>
            <w:tcBorders/>
            <w:vAlign w:val="bottom"/>
          </w:tcPr>
          <w:p>
            <w:pPr>
              <w:pStyle w:val="TableContents"/>
              <w:bidi w:val="0"/>
              <w:spacing w:before="0" w:after="283"/>
              <w:jc w:val="left"/>
            </w:pPr>
            <w: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pPr>
            <w: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pPr>
            <w: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c>
          <w:tcPr>
            <w:tcW w:w="146" w:type="dxa"/>
            <w:tcBorders/>
            <w:shd w:fill="CCEEFF" w:val="clear"/>
            <w:vAlign w:val="bottom"/>
          </w:tcPr>
          <w:p>
            <w:pPr>
              <w:pStyle w:val="TableContents"/>
              <w:bidi w:val="0"/>
              <w:spacing w:before="0" w:after="283"/>
              <w:jc w:val="left"/>
            </w:pPr>
            <w: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146"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146"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bidi w:val="0"/>
              <w:spacing w:before="0" w:after="283"/>
              <w:jc w:val="right"/>
            </w:pPr>
            <w:r>
              <w:t>—</w:t>
            </w:r>
          </w:p>
        </w:tc>
      </w:tr>
      <w:t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pPr>
            <w: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w:t>
            </w:r>
          </w:p>
        </w:tc>
        <w:tc>
          <w:tcPr>
            <w:tcW w:w="146" w:type="dxa"/>
            <w:tcBorders/>
            <w:vAlign w:val="bottom"/>
          </w:tcPr>
          <w:p>
            <w:pPr>
              <w:pStyle w:val="TableContents"/>
              <w:bidi w:val="0"/>
              <w:spacing w:before="0" w:after="283"/>
              <w:jc w:val="left"/>
            </w:pPr>
            <w: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w:t>
            </w:r>
          </w:p>
        </w:tc>
        <w:tc>
          <w:tcPr>
            <w:tcW w:w="146"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w:t>
            </w:r>
          </w:p>
        </w:tc>
        <w:tc>
          <w:tcPr>
            <w:tcW w:w="146"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bidi w:val="0"/>
              <w:spacing w:before="0" w:after="283"/>
              <w:jc w:val="right"/>
            </w:pPr>
            <w:r>
              <w:t>—</w:t>
            </w:r>
          </w:p>
        </w:tc>
      </w:tr>
      <w:t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pPr>
            <w: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pPr>
            <w: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pPr>
            <w:r>
              <w:t> </w:t>
            </w:r>
          </w:p>
        </w:tc>
        <w:tc>
          <w:tcPr>
            <w:tcW w:w="4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bottom w:val="double" w:sz="2" w:space="0" w:color="000000"/>
            </w:tcBorders>
            <w:shd w:fill="CCEEFF" w:val="clear"/>
            <w:tcMar>
              <w:bottom w:w="28" w:type="dxa"/>
            </w:tcM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pPr>
            <w: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bottom w:val="double" w:sz="2" w:space="0" w:color="000000"/>
            </w:tcBorders>
            <w:shd w:fill="CCEEFF" w:val="clear"/>
            <w:tcMar>
              <w:bottom w:w="28" w:type="dxa"/>
            </w:tcMar>
            <w:vAlign w:val="bottom"/>
          </w:tcPr>
          <w:p>
            <w:pPr>
              <w:pStyle w:val="TableContents"/>
              <w:bidi w:val="0"/>
              <w:spacing w:before="0" w:after="283"/>
              <w:jc w:val="right"/>
            </w:pPr>
            <w: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Carrying value is net of unamortized deferred debt issuance costs. Unamortized deferred debt issuance costs associated with the 5.50% Unsecured Notes totaled approximately $0.7 million as of September 30, 2026. Unamortized deferred debt issuance costs associated with the 7.75% Unsecured Notes totaled approximately $2.2 million as of September 30, 2026.</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5.50% Unsecured Notes and the 7.75% Unsecured Notes, fair value is based upon the closing price on the last day of the period. The 5.50% Unsecured Notes and the 7.75% Unsecured Notes are listed on the NASDAQ Global Select Market (trading symbol “OXSQG”, and “OXSQH”,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carrying value and fair value of the Company’s financial liabilities disclosed, but not carried, at fair value as of December 31, 2025 and the level of each financial liability within the fair value hierarchy:</w:t>
      </w:r>
    </w:p>
    <w:tbl>
      <w:tblPr>
        <w:tblW w:w="8041" w:type="dxa"/>
        <w:jc w:val="left"/>
        <w:tblInd w:w="0" w:type="dxa"/>
        <w:tblLayout w:type="fixed"/>
        <w:tblCellMar>
          <w:top w:w="0" w:type="dxa"/>
          <w:left w:w="0" w:type="dxa"/>
          <w:bottom w:w="0" w:type="dxa"/>
          <w:right w:w="0" w:type="dxa"/>
        </w:tblCellMar>
      </w:tblPr>
      <w:tblGrid>
        <w:gridCol w:w="2446"/>
        <w:gridCol w:w="146"/>
        <w:gridCol w:w="303"/>
        <w:gridCol w:w="748"/>
        <w:gridCol w:w="146"/>
        <w:gridCol w:w="290"/>
        <w:gridCol w:w="715"/>
        <w:gridCol w:w="146"/>
        <w:gridCol w:w="400"/>
        <w:gridCol w:w="486"/>
        <w:gridCol w:w="146"/>
        <w:gridCol w:w="286"/>
        <w:gridCol w:w="706"/>
        <w:gridCol w:w="146"/>
        <w:gridCol w:w="393"/>
        <w:gridCol w:w="538"/>
      </w:tblGrid>
      <w:tr>
        <w:tc>
          <w:tcPr>
            <w:tcW w:w="24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0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Value(1)</w:t>
            </w:r>
          </w:p>
        </w:tc>
        <w:tc>
          <w:tcPr>
            <w:tcW w:w="146" w:type="dxa"/>
            <w:tcBorders/>
            <w:vAlign w:val="bottom"/>
          </w:tcPr>
          <w:p>
            <w:pPr>
              <w:pStyle w:val="TableContents"/>
              <w:bidi w:val="0"/>
              <w:spacing w:before="0" w:after="283"/>
              <w:jc w:val="left"/>
            </w:pPr>
            <w:r>
              <w:t> </w:t>
            </w:r>
          </w:p>
        </w:tc>
        <w:tc>
          <w:tcPr>
            <w:tcW w:w="10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Value(2)</w:t>
            </w:r>
          </w:p>
        </w:tc>
        <w:tc>
          <w:tcPr>
            <w:tcW w:w="146" w:type="dxa"/>
            <w:tcBorders/>
            <w:vAlign w:val="bottom"/>
          </w:tcPr>
          <w:p>
            <w:pPr>
              <w:pStyle w:val="TableContents"/>
              <w:bidi w:val="0"/>
              <w:spacing w:before="0" w:after="283"/>
              <w:jc w:val="left"/>
            </w:pPr>
            <w:r>
              <w:t> </w:t>
            </w:r>
          </w:p>
        </w:tc>
        <w:tc>
          <w:tcPr>
            <w:tcW w:w="88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1</w:t>
            </w:r>
          </w:p>
        </w:tc>
        <w:tc>
          <w:tcPr>
            <w:tcW w:w="146" w:type="dxa"/>
            <w:tcBorders/>
            <w:vAlign w:val="bottom"/>
          </w:tcPr>
          <w:p>
            <w:pPr>
              <w:pStyle w:val="TableContents"/>
              <w:bidi w:val="0"/>
              <w:spacing w:before="0" w:after="283"/>
              <w:jc w:val="left"/>
            </w:pPr>
            <w: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2</w:t>
            </w:r>
          </w:p>
        </w:tc>
        <w:tc>
          <w:tcPr>
            <w:tcW w:w="146" w:type="dxa"/>
            <w:tcBorders/>
            <w:vAlign w:val="bottom"/>
          </w:tcPr>
          <w:p>
            <w:pPr>
              <w:pStyle w:val="TableContents"/>
              <w:bidi w:val="0"/>
              <w:spacing w:before="0" w:after="283"/>
              <w:jc w:val="left"/>
            </w:pPr>
            <w:r>
              <w:t> </w:t>
            </w:r>
          </w:p>
        </w:tc>
        <w:tc>
          <w:tcPr>
            <w:tcW w:w="93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Level 3</w:t>
            </w:r>
          </w:p>
        </w:tc>
      </w:tr>
      <w:t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CCEEFF" w:val="clear"/>
            <w:vAlign w:val="bottom"/>
          </w:tcPr>
          <w:p>
            <w:pPr>
              <w:pStyle w:val="TableContents"/>
              <w:bidi w:val="0"/>
              <w:spacing w:before="0" w:after="283"/>
              <w:jc w:val="left"/>
            </w:pPr>
            <w:r>
              <w:t> </w:t>
            </w:r>
          </w:p>
        </w:tc>
        <w:tc>
          <w:tcPr>
            <w:tcW w:w="29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146" w:type="dxa"/>
            <w:tcBorders/>
            <w:shd w:fill="CCEEFF" w:val="clear"/>
            <w:vAlign w:val="bottom"/>
          </w:tcPr>
          <w:p>
            <w:pPr>
              <w:pStyle w:val="TableContents"/>
              <w:bidi w:val="0"/>
              <w:spacing w:before="0" w:after="283"/>
              <w:jc w:val="left"/>
            </w:pPr>
            <w:r>
              <w:t> </w:t>
            </w:r>
          </w:p>
        </w:tc>
        <w:tc>
          <w:tcPr>
            <w:tcW w:w="4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shd w:fill="CCEEFF" w:val="cle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c>
          <w:tcPr>
            <w:tcW w:w="146" w:type="dxa"/>
            <w:tcBorders/>
            <w:shd w:fill="CCEEFF" w:val="clear"/>
            <w:vAlign w:val="bottom"/>
          </w:tcPr>
          <w:p>
            <w:pPr>
              <w:pStyle w:val="TableContents"/>
              <w:bidi w:val="0"/>
              <w:spacing w:before="0" w:after="283"/>
              <w:jc w:val="left"/>
            </w:pPr>
            <w:r>
              <w:t> </w:t>
            </w:r>
          </w:p>
        </w:tc>
        <w:tc>
          <w:tcPr>
            <w:tcW w:w="3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shd w:fill="CCEEFF" w:val="clear"/>
            <w:vAlign w:val="bottom"/>
          </w:tcPr>
          <w:p>
            <w:pPr>
              <w:pStyle w:val="TableContents"/>
              <w:bidi w:val="0"/>
              <w:spacing w:before="0" w:after="283"/>
              <w:jc w:val="right"/>
            </w:pPr>
            <w:r>
              <w:t>—</w:t>
            </w:r>
          </w:p>
        </w:tc>
      </w:tr>
      <w:t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pPr>
            <w: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w:t>
            </w:r>
          </w:p>
        </w:tc>
        <w:tc>
          <w:tcPr>
            <w:tcW w:w="146" w:type="dxa"/>
            <w:tcBorders/>
            <w:vAlign w:val="bottom"/>
          </w:tcPr>
          <w:p>
            <w:pPr>
              <w:pStyle w:val="TableContents"/>
              <w:bidi w:val="0"/>
              <w:spacing w:before="0" w:after="283"/>
              <w:jc w:val="left"/>
            </w:pPr>
            <w:r>
              <w:t> </w:t>
            </w:r>
          </w:p>
        </w:tc>
        <w:tc>
          <w:tcPr>
            <w:tcW w:w="29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146" w:type="dxa"/>
            <w:tcBorders/>
            <w:vAlign w:val="bottom"/>
          </w:tcPr>
          <w:p>
            <w:pPr>
              <w:pStyle w:val="TableContents"/>
              <w:bidi w:val="0"/>
              <w:spacing w:before="0" w:after="283"/>
              <w:jc w:val="left"/>
            </w:pPr>
            <w:r>
              <w:t> </w:t>
            </w:r>
          </w:p>
        </w:tc>
        <w:tc>
          <w:tcPr>
            <w:tcW w:w="4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486"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c>
          <w:tcPr>
            <w:tcW w:w="146" w:type="dxa"/>
            <w:tcBorders/>
            <w:vAlign w:val="bottom"/>
          </w:tcPr>
          <w:p>
            <w:pPr>
              <w:pStyle w:val="TableContents"/>
              <w:bidi w:val="0"/>
              <w:spacing w:before="0" w:after="283"/>
              <w:jc w:val="left"/>
            </w:pPr>
            <w:r>
              <w:t> </w:t>
            </w:r>
          </w:p>
        </w:tc>
        <w:tc>
          <w:tcPr>
            <w:tcW w:w="3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38" w:type="dxa"/>
            <w:tcBorders/>
            <w:vAlign w:val="bottom"/>
          </w:tcPr>
          <w:p>
            <w:pPr>
              <w:pStyle w:val="TableContents"/>
              <w:bidi w:val="0"/>
              <w:spacing w:before="0" w:after="283"/>
              <w:jc w:val="right"/>
            </w:pPr>
            <w:r>
              <w:t>—</w:t>
            </w:r>
          </w:p>
        </w:tc>
      </w:tr>
      <w:t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pPr>
            <w: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w:t>
            </w:r>
          </w:p>
        </w:tc>
        <w:tc>
          <w:tcPr>
            <w:tcW w:w="146" w:type="dxa"/>
            <w:tcBorders/>
            <w:shd w:fill="CCEEFF" w:val="clear"/>
            <w:vAlign w:val="bottom"/>
          </w:tcPr>
          <w:p>
            <w:pPr>
              <w:pStyle w:val="TableContents"/>
              <w:bidi w:val="0"/>
              <w:spacing w:before="0" w:after="283"/>
              <w:jc w:val="left"/>
            </w:pPr>
            <w:r>
              <w:t> </w:t>
            </w:r>
          </w:p>
        </w:tc>
        <w:tc>
          <w:tcPr>
            <w:tcW w:w="29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pPr>
            <w:r>
              <w:t> </w:t>
            </w:r>
          </w:p>
        </w:tc>
        <w:tc>
          <w:tcPr>
            <w:tcW w:w="40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486" w:type="dxa"/>
            <w:tcBorders>
              <w:bottom w:val="double" w:sz="2" w:space="0" w:color="000000"/>
            </w:tcBorders>
            <w:shd w:fill="CCEEFF" w:val="clear"/>
            <w:tcMar>
              <w:bottom w:w="28" w:type="dxa"/>
            </w:tcM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pPr>
            <w:r>
              <w:t> </w:t>
            </w:r>
          </w:p>
        </w:tc>
        <w:tc>
          <w:tcPr>
            <w:tcW w:w="3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38" w:type="dxa"/>
            <w:tcBorders>
              <w:bottom w:val="double" w:sz="2" w:space="0" w:color="000000"/>
            </w:tcBorders>
            <w:shd w:fill="CCEEFF" w:val="clear"/>
            <w:tcMar>
              <w:bottom w:w="28" w:type="dxa"/>
            </w:tcMar>
            <w:vAlign w:val="bottom"/>
          </w:tcPr>
          <w:p>
            <w:pPr>
              <w:pStyle w:val="TableContents"/>
              <w:bidi w:val="0"/>
              <w:spacing w:before="0" w:after="283"/>
              <w:jc w:val="right"/>
            </w:pPr>
            <w: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Carrying value is net of unamortized deferred debt issuance costs. Unamortized deferred debt issuance costs associated with the 5.50% Unsecured Notes totaled approximately $1.0 million as of December 31, 2025. Unamortized deferred debt issuance costs associated with the 7.75% Unsecured Notes totaled approximately $2.6 million as of December 31, 2025.</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5.50% Unsecured Notes and 7.75% Unsecured Notes, fair value is based upon the closing price on the last day of the period. The 5.50% Unsecured Notes and 7.75% Unsecured Notes are listed on the NASDAQ Global Select Market (trading symbol “OXSQG” and “OXSQH”,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three months ended September 30, 2026,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81"/>
        <w:gridCol w:w="146"/>
        <w:gridCol w:w="286"/>
        <w:gridCol w:w="706"/>
        <w:gridCol w:w="241"/>
        <w:gridCol w:w="146"/>
        <w:gridCol w:w="286"/>
        <w:gridCol w:w="661"/>
        <w:gridCol w:w="241"/>
        <w:gridCol w:w="146"/>
        <w:gridCol w:w="370"/>
        <w:gridCol w:w="758"/>
        <w:gridCol w:w="313"/>
        <w:gridCol w:w="146"/>
        <w:gridCol w:w="286"/>
        <w:gridCol w:w="706"/>
        <w:gridCol w:w="286"/>
      </w:tblGrid>
      <w:tr>
        <w:tc>
          <w:tcPr>
            <w:tcW w:w="4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Senior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pPr>
            <w: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CLO </w:t>
              <w:br/>
              <w:t>Equity</w:t>
            </w:r>
          </w:p>
        </w:tc>
        <w:tc>
          <w:tcPr>
            <w:tcW w:w="146" w:type="dxa"/>
            <w:tcBorders/>
            <w:vAlign w:val="bottom"/>
          </w:tcPr>
          <w:p>
            <w:pPr>
              <w:pStyle w:val="TableContents"/>
              <w:bidi w:val="0"/>
              <w:spacing w:before="0" w:after="283"/>
              <w:jc w:val="left"/>
            </w:pPr>
            <w:r>
              <w:t> </w:t>
            </w:r>
          </w:p>
        </w:tc>
        <w:tc>
          <w:tcPr>
            <w:tcW w:w="14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and 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Investments</w:t>
            </w:r>
          </w:p>
        </w:tc>
        <w:tc>
          <w:tcPr>
            <w:tcW w:w="146" w:type="dxa"/>
            <w:tcBorders/>
            <w:vAlign w:val="bottom"/>
          </w:tcPr>
          <w:p>
            <w:pPr>
              <w:pStyle w:val="TableContents"/>
              <w:bidi w:val="0"/>
              <w:spacing w:before="0" w:after="283"/>
              <w:jc w:val="left"/>
            </w:pPr>
            <w: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June 30, 2026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252.8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included in earnings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pPr>
            <w: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appreciation/(depreciation) included in earnings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pPr>
            <w: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pPr>
            <w: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asset classes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bidi w:val="0"/>
              <w:spacing w:before="0" w:after="283"/>
              <w:jc w:val="right"/>
            </w:pPr>
            <w:r>
              <w:t>—</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pPr>
            <w: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8" w:type="dxa"/>
            <w:tcBorders/>
            <w:vAlign w:val="bottom"/>
          </w:tcPr>
          <w:p>
            <w:pPr>
              <w:pStyle w:val="TableContents"/>
              <w:bidi w:val="0"/>
              <w:spacing w:before="0" w:after="283"/>
              <w:jc w:val="right"/>
            </w:pPr>
            <w:r>
              <w:t>—</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September 30, 2026(2)</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(depreciation)/appreciation on Level 3 investments still held as of September 30, 2026</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7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$2.0 million represented the distributions received, or entitled to be received, on the Company’s investments held in CLO equity subordinated and income notes of approximately $5.6 million, plus the amortization of cost of the Company’s CLO fee notes of approximately $55,000, less the effective yield interest income recognized on the Company’s CLO equity subordinated and income notes of approximately $3.6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2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nine months ended September 30, 2026,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81"/>
        <w:gridCol w:w="146"/>
        <w:gridCol w:w="286"/>
        <w:gridCol w:w="706"/>
        <w:gridCol w:w="241"/>
        <w:gridCol w:w="146"/>
        <w:gridCol w:w="286"/>
        <w:gridCol w:w="661"/>
        <w:gridCol w:w="241"/>
        <w:gridCol w:w="146"/>
        <w:gridCol w:w="472"/>
        <w:gridCol w:w="969"/>
        <w:gridCol w:w="146"/>
        <w:gridCol w:w="286"/>
        <w:gridCol w:w="706"/>
        <w:gridCol w:w="286"/>
      </w:tblGrid>
      <w:tr>
        <w:tc>
          <w:tcPr>
            <w:tcW w:w="448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Senior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pPr>
            <w:r>
              <w:t> </w:t>
            </w:r>
          </w:p>
        </w:tc>
        <w:tc>
          <w:tcPr>
            <w:tcW w:w="118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Equity</w:t>
            </w:r>
          </w:p>
        </w:tc>
        <w:tc>
          <w:tcPr>
            <w:tcW w:w="146" w:type="dxa"/>
            <w:tcBorders/>
            <w:vAlign w:val="bottom"/>
          </w:tcPr>
          <w:p>
            <w:pPr>
              <w:pStyle w:val="TableContents"/>
              <w:bidi w:val="0"/>
              <w:spacing w:before="0" w:after="283"/>
              <w:jc w:val="left"/>
            </w:pPr>
            <w: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and 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Investments</w:t>
            </w:r>
          </w:p>
        </w:tc>
        <w:tc>
          <w:tcPr>
            <w:tcW w:w="146" w:type="dxa"/>
            <w:tcBorders/>
            <w:vAlign w:val="bottom"/>
          </w:tcPr>
          <w:p>
            <w:pPr>
              <w:pStyle w:val="TableContents"/>
              <w:bidi w:val="0"/>
              <w:spacing w:before="0" w:after="283"/>
              <w:jc w:val="left"/>
            </w:pPr>
            <w: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included in earnings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(29.5</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 included in earnings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between asset classes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61"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bidi w:val="0"/>
              <w:spacing w:before="0" w:after="283"/>
              <w:jc w:val="right"/>
            </w:pPr>
            <w: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September 30, 2026(2)</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7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(depreciation)/appreciation on Level 3 investments still held as of September 30, 2026</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$8.7 million represented the distributions received, or entitled to be received, on the Company’s investments held in CLO equity subordinated and income notes of approximately $19.0 million, plus the amortization of cost of the Company’s CLO fee notes of approximately $129,000, less the effective yield interest income recognized on the Company’s CLO equity subordinated and income notes of approximately $10.4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4. FAIR VALUE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fair value of investments for the year ended December 31, 2025, utilizing significant unobservable inputs, is as follows:</w:t>
      </w:r>
    </w:p>
    <w:tbl>
      <w:tblPr>
        <w:tblW w:w="10205" w:type="dxa"/>
        <w:jc w:val="left"/>
        <w:tblInd w:w="0" w:type="dxa"/>
        <w:tblLayout w:type="fixed"/>
        <w:tblCellMar>
          <w:top w:w="0" w:type="dxa"/>
          <w:left w:w="0" w:type="dxa"/>
          <w:bottom w:w="0" w:type="dxa"/>
          <w:right w:w="0" w:type="dxa"/>
        </w:tblCellMar>
      </w:tblPr>
      <w:tblGrid>
        <w:gridCol w:w="4436"/>
        <w:gridCol w:w="146"/>
        <w:gridCol w:w="286"/>
        <w:gridCol w:w="706"/>
        <w:gridCol w:w="241"/>
        <w:gridCol w:w="146"/>
        <w:gridCol w:w="286"/>
        <w:gridCol w:w="706"/>
        <w:gridCol w:w="241"/>
        <w:gridCol w:w="146"/>
        <w:gridCol w:w="385"/>
        <w:gridCol w:w="729"/>
        <w:gridCol w:w="327"/>
        <w:gridCol w:w="146"/>
        <w:gridCol w:w="286"/>
        <w:gridCol w:w="706"/>
        <w:gridCol w:w="286"/>
      </w:tblGrid>
      <w:tr>
        <w:tc>
          <w:tcPr>
            <w:tcW w:w="44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Senior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Secured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Notes</w:t>
            </w:r>
          </w:p>
        </w:tc>
        <w:tc>
          <w:tcPr>
            <w:tcW w:w="146" w:type="dxa"/>
            <w:tcBorders/>
            <w:vAlign w:val="bottom"/>
          </w:tcPr>
          <w:p>
            <w:pPr>
              <w:pStyle w:val="TableContents"/>
              <w:bidi w:val="0"/>
              <w:spacing w:before="0" w:after="283"/>
              <w:jc w:val="left"/>
            </w:pPr>
            <w:r>
              <w:t> </w:t>
            </w:r>
          </w:p>
        </w:tc>
        <w:tc>
          <w:tcPr>
            <w:tcW w:w="12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CLO</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Equity</w:t>
            </w:r>
          </w:p>
        </w:tc>
        <w:tc>
          <w:tcPr>
            <w:tcW w:w="146" w:type="dxa"/>
            <w:tcBorders/>
            <w:vAlign w:val="bottom"/>
          </w:tcPr>
          <w:p>
            <w:pPr>
              <w:pStyle w:val="TableContents"/>
              <w:bidi w:val="0"/>
              <w:spacing w:before="0" w:after="283"/>
              <w:jc w:val="left"/>
            </w:pPr>
            <w:r>
              <w:t> </w:t>
            </w:r>
          </w:p>
        </w:tc>
        <w:tc>
          <w:tcPr>
            <w:tcW w:w="144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Equity </w:t>
              <w:br/>
              <w:t>and Other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Investments</w:t>
            </w:r>
          </w:p>
        </w:tc>
        <w:tc>
          <w:tcPr>
            <w:tcW w:w="146" w:type="dxa"/>
            <w:tcBorders/>
            <w:vAlign w:val="bottom"/>
          </w:tcPr>
          <w:p>
            <w:pPr>
              <w:pStyle w:val="TableContents"/>
              <w:bidi w:val="0"/>
              <w:spacing w:before="0" w:after="283"/>
              <w:jc w:val="left"/>
            </w:pPr>
            <w:r>
              <w:t> </w:t>
            </w:r>
          </w:p>
        </w:tc>
        <w:tc>
          <w:tcPr>
            <w:tcW w:w="12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Total(2)</w:t>
            </w:r>
          </w:p>
        </w:tc>
      </w:tr>
      <w:t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104.6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(losses)/gains included in earnings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unrealized appreciation/(depreciation) included in earnings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bidi w:val="0"/>
              <w:spacing w:before="0" w:after="283"/>
              <w:jc w:val="right"/>
            </w:pPr>
            <w:r>
              <w:t>—</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Purchases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Repayments and sales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32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(58.4</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bidi w:val="0"/>
              <w:spacing w:before="0" w:after="283"/>
              <w:jc w:val="right"/>
            </w:pPr>
            <w:r>
              <w:t>—</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bidi w:val="0"/>
              <w:spacing w:before="0" w:after="283"/>
              <w:jc w:val="right"/>
            </w:pPr>
            <w: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vAlign w:val="bottom"/>
          </w:tcPr>
          <w:p>
            <w:pPr>
              <w:pStyle w:val="TableContents"/>
              <w:bidi w:val="0"/>
              <w:spacing w:before="0" w:after="283"/>
              <w:jc w:val="right"/>
            </w:pPr>
            <w:r>
              <w:t>—</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Transfers in and/or (out) of level 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9" w:type="dxa"/>
            <w:tcBorders/>
            <w:shd w:fill="CCEEFF" w:val="clear"/>
            <w:vAlign w:val="bottom"/>
          </w:tcPr>
          <w:p>
            <w:pPr>
              <w:pStyle w:val="TableContents"/>
              <w:bidi w:val="0"/>
              <w:spacing w:before="0" w:after="283"/>
              <w:jc w:val="right"/>
            </w:pPr>
            <w:r>
              <w:t>—</w:t>
            </w:r>
          </w:p>
        </w:tc>
        <w:tc>
          <w:tcPr>
            <w:tcW w:w="3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right"/>
            </w:pPr>
            <w: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Balance at December 31, 2025(2)</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8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3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4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depreciation on level 3 investments still held as of December 31, 2025</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w:t>
            </w:r>
          </w:p>
        </w:tc>
        <w:tc>
          <w:tcPr>
            <w:tcW w:w="3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 to CLO equity cost value of approximately $7.7 million represented the distributions received, or entitled to be received, on the Company’s investments held in CLO equity subordinated and income notes of approximately $24.1 million, plus the amortization of cost of the Company’s CLO fee notes of approximately $57,000, less the effective yield interest income recognized on the Company’s CLO equity subordinated and income notes of approximately $16.5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fair value of the Company’s portfolio of investments by asset class as of September 30, 2026 and December 31, 2025:</w:t>
      </w:r>
    </w:p>
    <w:tbl>
      <w:tblPr>
        <w:tblW w:w="10205" w:type="dxa"/>
        <w:jc w:val="left"/>
        <w:tblInd w:w="0" w:type="dxa"/>
        <w:tblLayout w:type="fixed"/>
        <w:tblCellMar>
          <w:top w:w="0" w:type="dxa"/>
          <w:left w:w="0" w:type="dxa"/>
          <w:bottom w:w="0" w:type="dxa"/>
          <w:right w:w="0" w:type="dxa"/>
        </w:tblCellMar>
      </w:tblPr>
      <w:tblGrid>
        <w:gridCol w:w="2975"/>
        <w:gridCol w:w="146"/>
        <w:gridCol w:w="489"/>
        <w:gridCol w:w="1212"/>
        <w:gridCol w:w="147"/>
        <w:gridCol w:w="1071"/>
        <w:gridCol w:w="525"/>
        <w:gridCol w:w="146"/>
        <w:gridCol w:w="489"/>
        <w:gridCol w:w="1212"/>
        <w:gridCol w:w="146"/>
        <w:gridCol w:w="1055"/>
        <w:gridCol w:w="592"/>
      </w:tblGrid>
      <w:tr>
        <w:tc>
          <w:tcPr>
            <w:tcW w:w="2975"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pPr>
            <w:r>
              <w:t> </w:t>
            </w:r>
          </w:p>
        </w:tc>
        <w:tc>
          <w:tcPr>
            <w:tcW w:w="344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 2026</w:t>
            </w:r>
          </w:p>
        </w:tc>
        <w:tc>
          <w:tcPr>
            <w:tcW w:w="146" w:type="dxa"/>
            <w:tcBorders/>
            <w:vAlign w:val="bottom"/>
          </w:tcPr>
          <w:p>
            <w:pPr>
              <w:pStyle w:val="TableContents"/>
              <w:bidi w:val="0"/>
              <w:spacing w:before="0" w:after="283"/>
              <w:jc w:val="left"/>
            </w:pPr>
            <w:r>
              <w:t> </w:t>
            </w:r>
          </w:p>
        </w:tc>
        <w:tc>
          <w:tcPr>
            <w:tcW w:w="3494"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c>
          <w:tcPr>
            <w:tcW w:w="2975"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17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Investments at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Fair Value</w:t>
            </w:r>
          </w:p>
        </w:tc>
        <w:tc>
          <w:tcPr>
            <w:tcW w:w="147" w:type="dxa"/>
            <w:tcBorders/>
            <w:vAlign w:val="bottom"/>
          </w:tcPr>
          <w:p>
            <w:pPr>
              <w:pStyle w:val="TableContents"/>
              <w:bidi w:val="0"/>
              <w:spacing w:before="0" w:after="283"/>
              <w:jc w:val="left"/>
            </w:pPr>
            <w:r>
              <w:t> </w:t>
            </w:r>
          </w:p>
        </w:tc>
        <w:tc>
          <w:tcPr>
            <w:tcW w:w="159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Total Portfolio</w:t>
            </w:r>
          </w:p>
        </w:tc>
        <w:tc>
          <w:tcPr>
            <w:tcW w:w="146" w:type="dxa"/>
            <w:tcBorders/>
            <w:vAlign w:val="bottom"/>
          </w:tcPr>
          <w:p>
            <w:pPr>
              <w:pStyle w:val="TableContents"/>
              <w:bidi w:val="0"/>
              <w:spacing w:before="0" w:after="283"/>
              <w:jc w:val="left"/>
            </w:pPr>
            <w:r>
              <w:t> </w:t>
            </w:r>
          </w:p>
        </w:tc>
        <w:tc>
          <w:tcPr>
            <w:tcW w:w="17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Investments at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Fair Value</w:t>
            </w:r>
          </w:p>
        </w:tc>
        <w:tc>
          <w:tcPr>
            <w:tcW w:w="146" w:type="dxa"/>
            <w:tcBorders/>
            <w:vAlign w:val="bottom"/>
          </w:tcPr>
          <w:p>
            <w:pPr>
              <w:pStyle w:val="TableContents"/>
              <w:bidi w:val="0"/>
              <w:spacing w:before="0" w:after="283"/>
              <w:jc w:val="left"/>
            </w:pPr>
            <w:r>
              <w:t> </w:t>
            </w:r>
          </w:p>
        </w:tc>
        <w:tc>
          <w:tcPr>
            <w:tcW w:w="164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Percentage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Total Portfolio</w:t>
            </w:r>
          </w:p>
        </w:tc>
      </w:tr>
      <w:tr>
        <w:tc>
          <w:tcPr>
            <w:tcW w:w="29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147" w:type="dxa"/>
            <w:tcBorders/>
            <w:shd w:fill="CCEEFF" w:val="clear"/>
            <w:vAlign w:val="bottom"/>
          </w:tcPr>
          <w:p>
            <w:pPr>
              <w:pStyle w:val="TableContents"/>
              <w:bidi w:val="0"/>
              <w:spacing w:before="0" w:after="283"/>
              <w:jc w:val="left"/>
            </w:pPr>
            <w: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pPr>
            <w: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5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147" w:type="dxa"/>
            <w:tcBorders/>
            <w:vAlign w:val="bottom"/>
          </w:tcPr>
          <w:p>
            <w:pPr>
              <w:pStyle w:val="TableContents"/>
              <w:bidi w:val="0"/>
              <w:spacing w:before="0" w:after="283"/>
              <w:jc w:val="left"/>
            </w:pPr>
            <w:r>
              <w:t> </w:t>
            </w:r>
          </w:p>
        </w:tc>
        <w:tc>
          <w:tcPr>
            <w:tcW w:w="10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pPr>
            <w:r>
              <w:t> </w:t>
            </w:r>
          </w:p>
        </w:tc>
        <w:tc>
          <w:tcPr>
            <w:tcW w:w="105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75"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7" w:type="dxa"/>
            <w:tcBorders/>
            <w:shd w:fill="CCEEFF" w:val="clear"/>
            <w:vAlign w:val="bottom"/>
          </w:tcPr>
          <w:p>
            <w:pPr>
              <w:pStyle w:val="TableContents"/>
              <w:bidi w:val="0"/>
              <w:spacing w:before="0" w:after="283"/>
              <w:jc w:val="left"/>
            </w:pPr>
            <w: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525"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1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pPr>
            <w:r>
              <w:t> </w:t>
            </w:r>
          </w:p>
        </w:tc>
        <w:tc>
          <w:tcPr>
            <w:tcW w:w="105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9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975"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pPr>
            <w:r>
              <w:t> </w:t>
            </w:r>
          </w:p>
        </w:tc>
        <w:tc>
          <w:tcPr>
            <w:tcW w:w="4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7" w:type="dxa"/>
            <w:tcBorders/>
            <w:vAlign w:val="bottom"/>
          </w:tcPr>
          <w:p>
            <w:pPr>
              <w:pStyle w:val="TableContents"/>
              <w:bidi w:val="0"/>
              <w:spacing w:before="0" w:after="283"/>
              <w:jc w:val="left"/>
            </w:pPr>
            <w:r>
              <w:t> </w:t>
            </w:r>
          </w:p>
        </w:tc>
        <w:tc>
          <w:tcPr>
            <w:tcW w:w="10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2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4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pPr>
            <w:r>
              <w:t> </w:t>
            </w:r>
          </w:p>
        </w:tc>
        <w:tc>
          <w:tcPr>
            <w:tcW w:w="105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9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5. CASH AND CASH EQUIVALENTS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September 30, 2026 and December 31, 2025, respectively, cash and cash equivalents were as follows:</w:t>
      </w:r>
    </w:p>
    <w:tbl>
      <w:tblPr>
        <w:tblW w:w="6850" w:type="dxa"/>
        <w:jc w:val="left"/>
        <w:tblInd w:w="0" w:type="dxa"/>
        <w:tblLayout w:type="fixed"/>
        <w:tblCellMar>
          <w:top w:w="0" w:type="dxa"/>
          <w:left w:w="0" w:type="dxa"/>
          <w:bottom w:w="0" w:type="dxa"/>
          <w:right w:w="0" w:type="dxa"/>
        </w:tblCellMar>
      </w:tblPr>
      <w:tblGrid>
        <w:gridCol w:w="3256"/>
        <w:gridCol w:w="146"/>
        <w:gridCol w:w="313"/>
        <w:gridCol w:w="1368"/>
        <w:gridCol w:w="146"/>
        <w:gridCol w:w="293"/>
        <w:gridCol w:w="1328"/>
      </w:tblGrid>
      <w:tr>
        <w:tc>
          <w:tcPr>
            <w:tcW w:w="32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62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689,210</w:t>
            </w:r>
          </w:p>
        </w:tc>
        <w:tc>
          <w:tcPr>
            <w:tcW w:w="146" w:type="dxa"/>
            <w:tcBorders/>
            <w:shd w:fill="CCEEFF" w:val="clear"/>
            <w:vAlign w:val="bottom"/>
          </w:tcPr>
          <w:p>
            <w:pPr>
              <w:pStyle w:val="TableContents"/>
              <w:bidi w:val="0"/>
              <w:spacing w:before="0" w:after="283"/>
              <w:jc w:val="left"/>
            </w:pPr>
            <w:r>
              <w:t> </w:t>
            </w:r>
          </w:p>
        </w:tc>
        <w:tc>
          <w:tcPr>
            <w:tcW w:w="29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698,579</w:t>
            </w:r>
          </w:p>
        </w:tc>
      </w:tr>
      <w:tr>
        <w:tc>
          <w:tcPr>
            <w:tcW w:w="32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equivalents</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42,822,297</w:t>
            </w:r>
          </w:p>
        </w:tc>
        <w:tc>
          <w:tcPr>
            <w:tcW w:w="146" w:type="dxa"/>
            <w:tcBorders/>
            <w:vAlign w:val="bottom"/>
          </w:tcPr>
          <w:p>
            <w:pPr>
              <w:pStyle w:val="TableContents"/>
              <w:bidi w:val="0"/>
              <w:spacing w:before="0" w:after="283"/>
              <w:jc w:val="left"/>
            </w:pPr>
            <w:r>
              <w:t> </w:t>
            </w:r>
          </w:p>
        </w:tc>
        <w:tc>
          <w:tcPr>
            <w:tcW w:w="29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51,236,068</w:t>
            </w:r>
          </w:p>
        </w:tc>
      </w:tr>
      <w:tr>
        <w:tc>
          <w:tcPr>
            <w:tcW w:w="32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cash and cash equivalents</w:t>
            </w:r>
          </w:p>
        </w:tc>
        <w:tc>
          <w:tcPr>
            <w:tcW w:w="146" w:type="dxa"/>
            <w:tcBorders/>
            <w:shd w:fill="CCEEFF" w:val="clear"/>
            <w:vAlign w:val="bottom"/>
          </w:tcPr>
          <w:p>
            <w:pPr>
              <w:pStyle w:val="TableContents"/>
              <w:bidi w:val="0"/>
              <w:spacing w:before="0" w:after="283"/>
              <w:jc w:val="left"/>
            </w:pPr>
            <w:r>
              <w:t> </w:t>
            </w:r>
          </w:p>
        </w:tc>
        <w:tc>
          <w:tcPr>
            <w:tcW w:w="31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43,511,507</w:t>
            </w:r>
          </w:p>
        </w:tc>
        <w:tc>
          <w:tcPr>
            <w:tcW w:w="146" w:type="dxa"/>
            <w:tcBorders/>
            <w:shd w:fill="CCEEFF" w:val="clear"/>
            <w:vAlign w:val="bottom"/>
          </w:tcPr>
          <w:p>
            <w:pPr>
              <w:pStyle w:val="TableContents"/>
              <w:bidi w:val="0"/>
              <w:spacing w:before="0" w:after="283"/>
              <w:jc w:val="left"/>
            </w:pPr>
            <w:r>
              <w:t> </w:t>
            </w:r>
          </w:p>
        </w:tc>
        <w:tc>
          <w:tcPr>
            <w:tcW w:w="29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51,934,647</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further details regarding the composition of cash and cash equivalents refer to “Note 3. Summary of Significant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6. 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1940 Act, with certain limited exceptions, the Company is only allowed to borrow amounts such that its asset coverage, as defined in the 1940 Act, is at least 150%, immediately after such borrowing. As of September 30, 2026 and December 31, 2025, the Company’s asset coverage for borrowed amounts was 192% and 191%,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the Company’s outstanding principal amounts, carrying values and fair values of the Company’s borrowings as of September 30, 2026 and December 31, 2025. The fair value of the 5.50% Unsecured Notes is based upon the closing price on the last day of the period. The 5.50% Unsecured Notes are listed on the NASDAQ Global Select Market (trading symbol “OXSQG”). The fair value of the 7.75% Unsecured Notes is based upon the closing price on the last day of the period. The 7.75% Unsecured Notes are listed on the NASDAQ Global Select Market (trading symbol “OXSQH”).</w:t>
      </w:r>
    </w:p>
    <w:tbl>
      <w:tblPr>
        <w:tblW w:w="9585" w:type="dxa"/>
        <w:jc w:val="left"/>
        <w:tblInd w:w="0" w:type="dxa"/>
        <w:tblLayout w:type="fixed"/>
        <w:tblCellMar>
          <w:top w:w="0" w:type="dxa"/>
          <w:left w:w="0" w:type="dxa"/>
          <w:bottom w:w="0" w:type="dxa"/>
          <w:right w:w="0" w:type="dxa"/>
        </w:tblCellMar>
      </w:tblPr>
      <w:tblGrid>
        <w:gridCol w:w="2446"/>
        <w:gridCol w:w="146"/>
        <w:gridCol w:w="307"/>
        <w:gridCol w:w="759"/>
        <w:gridCol w:w="146"/>
        <w:gridCol w:w="303"/>
        <w:gridCol w:w="748"/>
        <w:gridCol w:w="146"/>
        <w:gridCol w:w="286"/>
        <w:gridCol w:w="706"/>
        <w:gridCol w:w="146"/>
        <w:gridCol w:w="307"/>
        <w:gridCol w:w="759"/>
        <w:gridCol w:w="146"/>
        <w:gridCol w:w="303"/>
        <w:gridCol w:w="748"/>
        <w:gridCol w:w="146"/>
        <w:gridCol w:w="286"/>
        <w:gridCol w:w="751"/>
      </w:tblGrid>
      <w:tr>
        <w:tc>
          <w:tcPr>
            <w:tcW w:w="244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pPr>
            <w:r>
              <w:t> </w:t>
            </w:r>
          </w:p>
        </w:tc>
        <w:tc>
          <w:tcPr>
            <w:tcW w:w="6993" w:type="dxa"/>
            <w:gridSpan w:val="1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w:t>
            </w:r>
          </w:p>
        </w:tc>
      </w:tr>
      <w:tr>
        <w:tc>
          <w:tcPr>
            <w:tcW w:w="2446"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3401"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 2026</w:t>
            </w:r>
          </w:p>
        </w:tc>
        <w:tc>
          <w:tcPr>
            <w:tcW w:w="146" w:type="dxa"/>
            <w:tcBorders/>
            <w:vAlign w:val="bottom"/>
          </w:tcPr>
          <w:p>
            <w:pPr>
              <w:pStyle w:val="TableContents"/>
              <w:bidi w:val="0"/>
              <w:spacing w:before="0" w:after="283"/>
              <w:jc w:val="left"/>
            </w:pPr>
            <w:r>
              <w:t> </w:t>
            </w:r>
          </w:p>
        </w:tc>
        <w:tc>
          <w:tcPr>
            <w:tcW w:w="3446"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c>
          <w:tcPr>
            <w:tcW w:w="2446"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pPr>
            <w:r>
              <w:t> </w:t>
            </w:r>
          </w:p>
        </w:tc>
        <w:tc>
          <w:tcPr>
            <w:tcW w:w="10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Value(1)</w:t>
            </w:r>
          </w:p>
        </w:tc>
        <w:tc>
          <w:tcPr>
            <w:tcW w:w="146" w:type="dxa"/>
            <w:tcBorders/>
            <w:vAlign w:val="bottom"/>
          </w:tcPr>
          <w:p>
            <w:pPr>
              <w:pStyle w:val="TableContents"/>
              <w:bidi w:val="0"/>
              <w:spacing w:before="0" w:after="283"/>
              <w:jc w:val="left"/>
            </w:pPr>
            <w: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w:t>
            </w:r>
          </w:p>
        </w:tc>
        <w:tc>
          <w:tcPr>
            <w:tcW w:w="146" w:type="dxa"/>
            <w:tcBorders/>
            <w:vAlign w:val="bottom"/>
          </w:tcPr>
          <w:p>
            <w:pPr>
              <w:pStyle w:val="TableContents"/>
              <w:bidi w:val="0"/>
              <w:spacing w:before="0" w:after="283"/>
              <w:jc w:val="left"/>
            </w:pPr>
            <w:r>
              <w:t> </w:t>
            </w:r>
          </w:p>
        </w:tc>
        <w:tc>
          <w:tcPr>
            <w:tcW w:w="106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Principal</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pPr>
            <w:r>
              <w:t> </w:t>
            </w:r>
          </w:p>
        </w:tc>
        <w:tc>
          <w:tcPr>
            <w:tcW w:w="105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Carrying</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Value(1)</w:t>
            </w:r>
          </w:p>
        </w:tc>
        <w:tc>
          <w:tcPr>
            <w:tcW w:w="146" w:type="dxa"/>
            <w:tcBorders/>
            <w:vAlign w:val="bottom"/>
          </w:tcPr>
          <w:p>
            <w:pPr>
              <w:pStyle w:val="TableContents"/>
              <w:bidi w:val="0"/>
              <w:spacing w:before="0" w:after="283"/>
              <w:jc w:val="left"/>
            </w:pPr>
            <w:r>
              <w:t> </w:t>
            </w:r>
          </w:p>
        </w:tc>
        <w:tc>
          <w:tcPr>
            <w:tcW w:w="103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Fair</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Value</w:t>
            </w:r>
          </w:p>
        </w:tc>
      </w:tr>
      <w:t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pPr>
            <w:r>
              <w:t> </w:t>
            </w:r>
          </w:p>
        </w:tc>
        <w:tc>
          <w:tcPr>
            <w:tcW w:w="30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78.6</w:t>
            </w:r>
          </w:p>
        </w:tc>
        <w:tc>
          <w:tcPr>
            <w:tcW w:w="146" w:type="dxa"/>
            <w:tcBorders/>
            <w:shd w:fill="CCEEFF" w:val="clear"/>
            <w:vAlign w:val="bottom"/>
          </w:tcPr>
          <w:p>
            <w:pPr>
              <w:pStyle w:val="TableContents"/>
              <w:bidi w:val="0"/>
              <w:spacing w:before="0" w:after="283"/>
              <w:jc w:val="left"/>
            </w:pPr>
            <w:r>
              <w:t> </w:t>
            </w:r>
          </w:p>
        </w:tc>
        <w:tc>
          <w:tcPr>
            <w:tcW w:w="30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shd w:fill="CCEEFF" w:val="clear"/>
            <w:vAlign w:val="bottom"/>
          </w:tcPr>
          <w:p>
            <w:pPr>
              <w:pStyle w:val="TableContents"/>
              <w:bidi w:val="0"/>
              <w:spacing w:before="0" w:after="283"/>
              <w:jc w:val="left"/>
            </w:pPr>
            <w:r>
              <w:t> </w:t>
            </w:r>
          </w:p>
        </w:tc>
        <w:tc>
          <w:tcPr>
            <w:tcW w:w="30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79.5</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w:t>
            </w:r>
          </w:p>
        </w:tc>
      </w:tr>
      <w:tr>
        <w:tc>
          <w:tcPr>
            <w:tcW w:w="244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pPr>
            <w: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pPr>
            <w: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75.4</w:t>
            </w:r>
          </w:p>
        </w:tc>
        <w:tc>
          <w:tcPr>
            <w:tcW w:w="146" w:type="dxa"/>
            <w:tcBorders/>
            <w:vAlign w:val="bottom"/>
          </w:tcPr>
          <w:p>
            <w:pPr>
              <w:pStyle w:val="TableContents"/>
              <w:bidi w:val="0"/>
              <w:spacing w:before="0" w:after="283"/>
              <w:jc w:val="left"/>
            </w:pPr>
            <w:r>
              <w:t> </w:t>
            </w:r>
          </w:p>
        </w:tc>
        <w:tc>
          <w:tcPr>
            <w:tcW w:w="3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pPr>
            <w: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4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76.2</w:t>
            </w:r>
          </w:p>
        </w:tc>
      </w:tr>
      <w:tr>
        <w:tc>
          <w:tcPr>
            <w:tcW w:w="244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pPr>
            <w:r>
              <w:t> </w:t>
            </w:r>
          </w:p>
        </w:tc>
        <w:tc>
          <w:tcPr>
            <w:tcW w:w="3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shd w:fill="CCEEFF" w:val="clear"/>
            <w:vAlign w:val="bottom"/>
          </w:tcPr>
          <w:p>
            <w:pPr>
              <w:pStyle w:val="TableContents"/>
              <w:bidi w:val="0"/>
              <w:spacing w:before="0" w:after="283"/>
              <w:jc w:val="left"/>
            </w:pPr>
            <w: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152.3</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c>
          <w:tcPr>
            <w:tcW w:w="146" w:type="dxa"/>
            <w:tcBorders/>
            <w:shd w:fill="CCEEFF" w:val="clear"/>
            <w:vAlign w:val="bottom"/>
          </w:tcPr>
          <w:p>
            <w:pPr>
              <w:pStyle w:val="TableContents"/>
              <w:bidi w:val="0"/>
              <w:spacing w:before="0" w:after="283"/>
              <w:jc w:val="left"/>
            </w:pPr>
            <w:r>
              <w:t> </w:t>
            </w:r>
          </w:p>
        </w:tc>
        <w:tc>
          <w:tcPr>
            <w:tcW w:w="3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shd w:fill="CCEEFF" w:val="clear"/>
            <w:vAlign w:val="bottom"/>
          </w:tcPr>
          <w:p>
            <w:pPr>
              <w:pStyle w:val="TableContents"/>
              <w:bidi w:val="0"/>
              <w:spacing w:before="0" w:after="283"/>
              <w:jc w:val="left"/>
            </w:pPr>
            <w: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4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151.6</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Carrying Value represents the aggregate principal amount outstanding less the unamortized deferred issuance costs. As of September 30, 2026, the total unamortized deferred issuance costs for the 5.50% Unsecured Notes and 7.75% Unsecured Notes was approximately $0.7 million and $2.2 million, respectively. As of December 31, 2025, the total unamortized deferred issuance costs for the 5.50% Unsecured Notes and 7.75% Unsecured Notes were approximately $1.0 million, and $2.6 million,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2026, the weighted average principal amount of debt outstanding and weighted average annualized effective interest rate was approximately $155.3 million and 7.15%, respectively. For the nine months ended September 30, 2026, the weighted average principal amount of debt outstanding and weighted average annualized effective interest rate was approximately $155.3 million and 7.22%, respectively. For the year ended December 31, 2025, the weighted average principal amount of debt outstanding and weighted average annualized effective interest rate was approximately $138.2 million and 6.69%,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stated interest rate and weighted average maturity on the Company’s borrowings as of September 30, 2026 were 6.58% and 2.8 years, respectively, and as of December 31, 2025 were 6.58% and 3.5 years,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tables below summarize the components of interest expense for the three and nine months ended September 30, 2026 and 2025, respectively:</w:t>
      </w:r>
    </w:p>
    <w:tbl>
      <w:tblPr>
        <w:tblW w:w="10911" w:type="dxa"/>
        <w:jc w:val="left"/>
        <w:tblInd w:w="0" w:type="dxa"/>
        <w:tblLayout w:type="fixed"/>
        <w:tblCellMar>
          <w:top w:w="0" w:type="dxa"/>
          <w:left w:w="0" w:type="dxa"/>
          <w:bottom w:w="0" w:type="dxa"/>
          <w:right w:w="0" w:type="dxa"/>
        </w:tblCellMar>
      </w:tblPr>
      <w:tblGrid>
        <w:gridCol w:w="1261"/>
        <w:gridCol w:w="146"/>
        <w:gridCol w:w="346"/>
        <w:gridCol w:w="1073"/>
        <w:gridCol w:w="176"/>
        <w:gridCol w:w="501"/>
        <w:gridCol w:w="1240"/>
        <w:gridCol w:w="176"/>
        <w:gridCol w:w="346"/>
        <w:gridCol w:w="1078"/>
        <w:gridCol w:w="146"/>
        <w:gridCol w:w="286"/>
        <w:gridCol w:w="886"/>
        <w:gridCol w:w="146"/>
        <w:gridCol w:w="501"/>
        <w:gridCol w:w="1240"/>
        <w:gridCol w:w="146"/>
        <w:gridCol w:w="286"/>
        <w:gridCol w:w="931"/>
      </w:tblGrid>
      <w:tr>
        <w:tc>
          <w:tcPr>
            <w:tcW w:w="126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thousands)</w:t>
            </w:r>
          </w:p>
        </w:tc>
        <w:tc>
          <w:tcPr>
            <w:tcW w:w="146" w:type="dxa"/>
            <w:vMerge w:val="restart"/>
            <w:tcBorders/>
            <w:vAlign w:val="bottom"/>
          </w:tcPr>
          <w:p>
            <w:pPr>
              <w:pStyle w:val="TableContents"/>
              <w:bidi w:val="0"/>
              <w:spacing w:before="0" w:after="283"/>
              <w:jc w:val="left"/>
            </w:pPr>
            <w:r>
              <w:t> </w:t>
            </w:r>
          </w:p>
        </w:tc>
        <w:tc>
          <w:tcPr>
            <w:tcW w:w="4936"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September 30, 2026</w:t>
            </w:r>
          </w:p>
        </w:tc>
        <w:tc>
          <w:tcPr>
            <w:tcW w:w="146" w:type="dxa"/>
            <w:tcBorders/>
            <w:vAlign w:val="bottom"/>
          </w:tcPr>
          <w:p>
            <w:pPr>
              <w:pStyle w:val="TableContents"/>
              <w:bidi w:val="0"/>
              <w:spacing w:before="0" w:after="283"/>
              <w:jc w:val="left"/>
            </w:pPr>
            <w:r>
              <w:t> </w:t>
            </w:r>
          </w:p>
        </w:tc>
        <w:tc>
          <w:tcPr>
            <w:tcW w:w="442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 September 30, 2026</w:t>
            </w:r>
          </w:p>
        </w:tc>
      </w:tr>
      <w:tr>
        <w:tc>
          <w:tcPr>
            <w:tcW w:w="1261"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Interest </w:t>
              <w:br/>
              <w:t>Expense</w:t>
            </w:r>
          </w:p>
        </w:tc>
        <w:tc>
          <w:tcPr>
            <w:tcW w:w="176" w:type="dxa"/>
            <w:tcBorders/>
            <w:vAlign w:val="bottom"/>
          </w:tcPr>
          <w:p>
            <w:pPr>
              <w:pStyle w:val="TableContents"/>
              <w:bidi w:val="0"/>
              <w:spacing w:before="0" w:after="283"/>
              <w:jc w:val="left"/>
            </w:pPr>
            <w: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Deferred Debt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Issuance Costs</w:t>
            </w:r>
          </w:p>
        </w:tc>
        <w:tc>
          <w:tcPr>
            <w:tcW w:w="176" w:type="dxa"/>
            <w:tcBorders/>
            <w:vAlign w:val="bottom"/>
          </w:tcPr>
          <w:p>
            <w:pPr>
              <w:pStyle w:val="TableContents"/>
              <w:bidi w:val="0"/>
              <w:spacing w:before="0" w:after="283"/>
              <w:jc w:val="left"/>
            </w:pPr>
            <w:r>
              <w:t> </w:t>
            </w:r>
          </w:p>
        </w:tc>
        <w:tc>
          <w:tcPr>
            <w:tcW w:w="14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pPr>
            <w: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Interest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Expense</w:t>
            </w:r>
          </w:p>
        </w:tc>
        <w:tc>
          <w:tcPr>
            <w:tcW w:w="146" w:type="dxa"/>
            <w:tcBorders/>
            <w:vAlign w:val="bottom"/>
          </w:tcPr>
          <w:p>
            <w:pPr>
              <w:pStyle w:val="TableContents"/>
              <w:bidi w:val="0"/>
              <w:spacing w:before="0" w:after="283"/>
              <w:jc w:val="left"/>
            </w:pPr>
            <w: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Deferred Debt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Issuance Costs</w:t>
            </w:r>
          </w:p>
        </w:tc>
        <w:tc>
          <w:tcPr>
            <w:tcW w:w="146" w:type="dxa"/>
            <w:tcBorders/>
            <w:vAlign w:val="bottom"/>
          </w:tcPr>
          <w:p>
            <w:pPr>
              <w:pStyle w:val="TableContents"/>
              <w:bidi w:val="0"/>
              <w:spacing w:before="0" w:after="283"/>
              <w:jc w:val="left"/>
            </w:pPr>
            <w: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1,106.9</w:t>
            </w:r>
          </w:p>
        </w:tc>
        <w:tc>
          <w:tcPr>
            <w:tcW w:w="17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w:t>
            </w:r>
          </w:p>
        </w:tc>
        <w:tc>
          <w:tcPr>
            <w:tcW w:w="17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3,609.0</w:t>
            </w:r>
          </w:p>
        </w:tc>
      </w:tr>
      <w:tr>
        <w:tc>
          <w:tcPr>
            <w:tcW w:w="12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vAlign w:val="bottom"/>
          </w:tcPr>
          <w:p>
            <w:pPr>
              <w:pStyle w:val="TableContents"/>
              <w:bidi w:val="0"/>
              <w:spacing w:before="0" w:after="283"/>
              <w:jc w:val="left"/>
            </w:pPr>
            <w: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1,448.3</w:t>
            </w:r>
          </w:p>
        </w:tc>
        <w:tc>
          <w:tcPr>
            <w:tcW w:w="17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144.2</w:t>
            </w:r>
          </w:p>
        </w:tc>
        <w:tc>
          <w:tcPr>
            <w:tcW w:w="176" w:type="dxa"/>
            <w:tcBorders/>
            <w:vAlign w:val="bottom"/>
          </w:tcPr>
          <w:p>
            <w:pPr>
              <w:pStyle w:val="TableContents"/>
              <w:bidi w:val="0"/>
              <w:spacing w:before="0" w:after="283"/>
              <w:jc w:val="left"/>
            </w:pPr>
            <w: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1,592.5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4,344.8</w:t>
            </w:r>
          </w:p>
        </w:tc>
        <w:tc>
          <w:tcPr>
            <w:tcW w:w="14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427.8</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4,772.6</w:t>
            </w:r>
          </w:p>
        </w:tc>
      </w:tr>
      <w:t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shd w:fill="CCEEFF" w:val="clear"/>
            <w:vAlign w:val="bottom"/>
          </w:tcPr>
          <w:p>
            <w:pPr>
              <w:pStyle w:val="TableContents"/>
              <w:bidi w:val="0"/>
              <w:spacing w:before="0" w:after="283"/>
              <w:jc w:val="left"/>
            </w:pPr>
            <w:r>
              <w:t> </w:t>
            </w:r>
          </w:p>
        </w:tc>
        <w:tc>
          <w:tcPr>
            <w:tcW w:w="3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2,555.2</w:t>
            </w:r>
          </w:p>
        </w:tc>
        <w:tc>
          <w:tcPr>
            <w:tcW w:w="176" w:type="dxa"/>
            <w:tcBorders/>
            <w:shd w:fill="CCEEFF" w:val="clear"/>
            <w:vAlign w:val="bottom"/>
          </w:tcPr>
          <w:p>
            <w:pPr>
              <w:pStyle w:val="TableContents"/>
              <w:bidi w:val="0"/>
              <w:spacing w:before="0" w:after="283"/>
              <w:jc w:val="left"/>
            </w:pPr>
            <w:r>
              <w:t> </w:t>
            </w:r>
          </w:p>
        </w:tc>
        <w:tc>
          <w:tcPr>
            <w:tcW w:w="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241.4</w:t>
            </w:r>
          </w:p>
        </w:tc>
        <w:tc>
          <w:tcPr>
            <w:tcW w:w="176" w:type="dxa"/>
            <w:tcBorders/>
            <w:shd w:fill="CCEEFF" w:val="clear"/>
            <w:vAlign w:val="bottom"/>
          </w:tcPr>
          <w:p>
            <w:pPr>
              <w:pStyle w:val="TableContents"/>
              <w:bidi w:val="0"/>
              <w:spacing w:before="0" w:after="283"/>
              <w:jc w:val="left"/>
            </w:pPr>
            <w:r>
              <w:t> </w:t>
            </w:r>
          </w:p>
        </w:tc>
        <w:tc>
          <w:tcPr>
            <w:tcW w:w="3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2,796.5</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7,665.4</w:t>
            </w:r>
          </w:p>
        </w:tc>
        <w:tc>
          <w:tcPr>
            <w:tcW w:w="146" w:type="dxa"/>
            <w:tcBorders/>
            <w:shd w:fill="CCEEFF" w:val="clear"/>
            <w:vAlign w:val="bottom"/>
          </w:tcPr>
          <w:p>
            <w:pPr>
              <w:pStyle w:val="TableContents"/>
              <w:bidi w:val="0"/>
              <w:spacing w:before="0" w:after="283"/>
              <w:jc w:val="left"/>
            </w:pPr>
            <w:r>
              <w:t> </w:t>
            </w:r>
          </w:p>
        </w:tc>
        <w:tc>
          <w:tcPr>
            <w:tcW w:w="5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716.2</w:t>
            </w:r>
          </w:p>
        </w:tc>
        <w:tc>
          <w:tcPr>
            <w:tcW w:w="146" w:type="dxa"/>
            <w:tcBorders/>
            <w:shd w:fill="CCEEFF" w:val="clear"/>
            <w:vAlign w:val="bottom"/>
          </w:tcPr>
          <w:p>
            <w:pPr>
              <w:pStyle w:val="TableContents"/>
              <w:bidi w:val="0"/>
              <w:spacing w:before="0" w:after="283"/>
              <w:jc w:val="left"/>
            </w:pPr>
            <w: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8,381.6</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tbl>
      <w:tblPr>
        <w:tblW w:w="10911" w:type="dxa"/>
        <w:jc w:val="left"/>
        <w:tblInd w:w="0" w:type="dxa"/>
        <w:tblLayout w:type="fixed"/>
        <w:tblCellMar>
          <w:top w:w="0" w:type="dxa"/>
          <w:left w:w="0" w:type="dxa"/>
          <w:bottom w:w="0" w:type="dxa"/>
          <w:right w:w="0" w:type="dxa"/>
        </w:tblCellMar>
      </w:tblPr>
      <w:tblGrid>
        <w:gridCol w:w="1261"/>
        <w:gridCol w:w="146"/>
        <w:gridCol w:w="346"/>
        <w:gridCol w:w="1073"/>
        <w:gridCol w:w="176"/>
        <w:gridCol w:w="501"/>
        <w:gridCol w:w="1240"/>
        <w:gridCol w:w="176"/>
        <w:gridCol w:w="346"/>
        <w:gridCol w:w="1078"/>
        <w:gridCol w:w="146"/>
        <w:gridCol w:w="286"/>
        <w:gridCol w:w="886"/>
        <w:gridCol w:w="146"/>
        <w:gridCol w:w="501"/>
        <w:gridCol w:w="1240"/>
        <w:gridCol w:w="146"/>
        <w:gridCol w:w="286"/>
        <w:gridCol w:w="931"/>
      </w:tblGrid>
      <w:tr>
        <w:tc>
          <w:tcPr>
            <w:tcW w:w="126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thousands)</w:t>
            </w:r>
          </w:p>
        </w:tc>
        <w:tc>
          <w:tcPr>
            <w:tcW w:w="146" w:type="dxa"/>
            <w:vMerge w:val="restart"/>
            <w:tcBorders/>
            <w:vAlign w:val="bottom"/>
          </w:tcPr>
          <w:p>
            <w:pPr>
              <w:pStyle w:val="TableContents"/>
              <w:bidi w:val="0"/>
              <w:spacing w:before="0" w:after="283"/>
              <w:jc w:val="left"/>
            </w:pPr>
            <w:r>
              <w:t> </w:t>
            </w:r>
          </w:p>
        </w:tc>
        <w:tc>
          <w:tcPr>
            <w:tcW w:w="4936"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September 30, 2025</w:t>
            </w:r>
          </w:p>
        </w:tc>
        <w:tc>
          <w:tcPr>
            <w:tcW w:w="146" w:type="dxa"/>
            <w:tcBorders/>
            <w:vAlign w:val="bottom"/>
          </w:tcPr>
          <w:p>
            <w:pPr>
              <w:pStyle w:val="TableContents"/>
              <w:bidi w:val="0"/>
              <w:spacing w:before="0" w:after="283"/>
              <w:jc w:val="left"/>
            </w:pPr>
            <w:r>
              <w:t> </w:t>
            </w:r>
          </w:p>
        </w:tc>
        <w:tc>
          <w:tcPr>
            <w:tcW w:w="4422" w:type="dxa"/>
            <w:gridSpan w:val="8"/>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 Ended September 30, 2025</w:t>
            </w:r>
          </w:p>
        </w:tc>
      </w:tr>
      <w:tr>
        <w:tc>
          <w:tcPr>
            <w:tcW w:w="1261"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141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Interest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Expense</w:t>
            </w:r>
          </w:p>
        </w:tc>
        <w:tc>
          <w:tcPr>
            <w:tcW w:w="176" w:type="dxa"/>
            <w:tcBorders/>
            <w:vAlign w:val="bottom"/>
          </w:tcPr>
          <w:p>
            <w:pPr>
              <w:pStyle w:val="TableContents"/>
              <w:bidi w:val="0"/>
              <w:spacing w:before="0" w:after="283"/>
              <w:jc w:val="left"/>
            </w:pPr>
            <w: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Deferred Debt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Issuance Costs</w:t>
            </w:r>
          </w:p>
        </w:tc>
        <w:tc>
          <w:tcPr>
            <w:tcW w:w="176" w:type="dxa"/>
            <w:tcBorders/>
            <w:vAlign w:val="bottom"/>
          </w:tcPr>
          <w:p>
            <w:pPr>
              <w:pStyle w:val="TableContents"/>
              <w:bidi w:val="0"/>
              <w:spacing w:before="0" w:after="283"/>
              <w:jc w:val="left"/>
            </w:pPr>
            <w:r>
              <w:t> </w:t>
            </w:r>
          </w:p>
        </w:tc>
        <w:tc>
          <w:tcPr>
            <w:tcW w:w="142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c>
          <w:tcPr>
            <w:tcW w:w="146" w:type="dxa"/>
            <w:tcBorders/>
            <w:vAlign w:val="bottom"/>
          </w:tcPr>
          <w:p>
            <w:pPr>
              <w:pStyle w:val="TableContents"/>
              <w:bidi w:val="0"/>
              <w:spacing w:before="0" w:after="283"/>
              <w:jc w:val="left"/>
            </w:pPr>
            <w:r>
              <w:t> </w:t>
            </w:r>
          </w:p>
        </w:tc>
        <w:tc>
          <w:tcPr>
            <w:tcW w:w="11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Stated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Interest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Expense</w:t>
            </w:r>
          </w:p>
        </w:tc>
        <w:tc>
          <w:tcPr>
            <w:tcW w:w="146" w:type="dxa"/>
            <w:tcBorders/>
            <w:vAlign w:val="bottom"/>
          </w:tcPr>
          <w:p>
            <w:pPr>
              <w:pStyle w:val="TableContents"/>
              <w:bidi w:val="0"/>
              <w:spacing w:before="0" w:after="283"/>
              <w:jc w:val="left"/>
            </w:pPr>
            <w:r>
              <w:t> </w:t>
            </w:r>
          </w:p>
        </w:tc>
        <w:tc>
          <w:tcPr>
            <w:tcW w:w="17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Amortization of</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Deferred Debt</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Issuance Costs</w:t>
            </w:r>
          </w:p>
        </w:tc>
        <w:tc>
          <w:tcPr>
            <w:tcW w:w="146" w:type="dxa"/>
            <w:tcBorders/>
            <w:vAlign w:val="bottom"/>
          </w:tcPr>
          <w:p>
            <w:pPr>
              <w:pStyle w:val="TableContents"/>
              <w:bidi w:val="0"/>
              <w:spacing w:before="0" w:after="283"/>
              <w:jc w:val="left"/>
            </w:pPr>
            <w:r>
              <w:t> </w:t>
            </w:r>
          </w:p>
        </w:tc>
        <w:tc>
          <w:tcPr>
            <w:tcW w:w="12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Total(1)</w:t>
            </w:r>
          </w:p>
        </w:tc>
      </w:tr>
      <w:t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 Unsecured Notes</w:t>
            </w:r>
          </w:p>
        </w:tc>
        <w:tc>
          <w:tcPr>
            <w:tcW w:w="14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371.3</w:t>
            </w:r>
          </w:p>
        </w:tc>
        <w:tc>
          <w:tcPr>
            <w:tcW w:w="17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30.5</w:t>
            </w:r>
          </w:p>
        </w:tc>
        <w:tc>
          <w:tcPr>
            <w:tcW w:w="17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1,741.5</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1,885.2</w:t>
            </w:r>
          </w:p>
        </w:tc>
      </w:tr>
      <w:tr>
        <w:tc>
          <w:tcPr>
            <w:tcW w:w="12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vAlign w:val="bottom"/>
          </w:tcPr>
          <w:p>
            <w:pPr>
              <w:pStyle w:val="TableContents"/>
              <w:bidi w:val="0"/>
              <w:spacing w:before="0" w:after="283"/>
              <w:jc w:val="left"/>
            </w:pPr>
            <w: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1,106.9</w:t>
            </w:r>
          </w:p>
        </w:tc>
        <w:tc>
          <w:tcPr>
            <w:tcW w:w="17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97.2</w:t>
            </w:r>
          </w:p>
        </w:tc>
        <w:tc>
          <w:tcPr>
            <w:tcW w:w="176" w:type="dxa"/>
            <w:tcBorders/>
            <w:vAlign w:val="bottom"/>
          </w:tcPr>
          <w:p>
            <w:pPr>
              <w:pStyle w:val="TableContents"/>
              <w:bidi w:val="0"/>
              <w:spacing w:before="0" w:after="283"/>
              <w:jc w:val="left"/>
            </w:pPr>
            <w:r>
              <w:t> </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1,204.1</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3,320.6</w:t>
            </w:r>
          </w:p>
        </w:tc>
        <w:tc>
          <w:tcPr>
            <w:tcW w:w="14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288.4</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3,609.0</w:t>
            </w:r>
          </w:p>
        </w:tc>
      </w:tr>
      <w:tr>
        <w:tc>
          <w:tcPr>
            <w:tcW w:w="126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w:t>
            </w:r>
          </w:p>
        </w:tc>
        <w:tc>
          <w:tcPr>
            <w:tcW w:w="17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w:t>
            </w:r>
          </w:p>
        </w:tc>
        <w:tc>
          <w:tcPr>
            <w:tcW w:w="17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869.0</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953.6</w:t>
            </w:r>
          </w:p>
        </w:tc>
      </w:tr>
      <w:tr>
        <w:tc>
          <w:tcPr>
            <w:tcW w:w="126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pPr>
            <w:r>
              <w:t> </w:t>
            </w:r>
          </w:p>
        </w:tc>
        <w:tc>
          <w:tcPr>
            <w:tcW w:w="3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2,347.2</w:t>
            </w:r>
          </w:p>
        </w:tc>
        <w:tc>
          <w:tcPr>
            <w:tcW w:w="176" w:type="dxa"/>
            <w:tcBorders/>
            <w:vAlign w:val="bottom"/>
          </w:tcPr>
          <w:p>
            <w:pPr>
              <w:pStyle w:val="TableContents"/>
              <w:bidi w:val="0"/>
              <w:spacing w:before="0" w:after="283"/>
              <w:jc w:val="left"/>
            </w:pPr>
            <w: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212.3</w:t>
            </w:r>
          </w:p>
        </w:tc>
        <w:tc>
          <w:tcPr>
            <w:tcW w:w="176" w:type="dxa"/>
            <w:tcBorders/>
            <w:vAlign w:val="bottom"/>
          </w:tcPr>
          <w:p>
            <w:pPr>
              <w:pStyle w:val="TableContents"/>
              <w:bidi w:val="0"/>
              <w:spacing w:before="0" w:after="283"/>
              <w:jc w:val="left"/>
            </w:pPr>
            <w:r>
              <w:t> </w:t>
            </w:r>
          </w:p>
        </w:tc>
        <w:tc>
          <w:tcPr>
            <w:tcW w:w="3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2,559.4</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5,931.1</w:t>
            </w:r>
          </w:p>
        </w:tc>
        <w:tc>
          <w:tcPr>
            <w:tcW w:w="146" w:type="dxa"/>
            <w:tcBorders/>
            <w:vAlign w:val="bottom"/>
          </w:tcPr>
          <w:p>
            <w:pPr>
              <w:pStyle w:val="TableContents"/>
              <w:bidi w:val="0"/>
              <w:spacing w:before="0" w:after="283"/>
              <w:jc w:val="left"/>
            </w:pPr>
            <w: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516.7</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3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6,447.7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16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5.50% Unsecured Notes Due 2028 (the “5.50% Unsecured Notes”)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2021, the Company completed an underwritten public offering of approximately $80.5 million in aggregate principal amount of 5.50% Unsecured Notes. The 5.50% Unsecured Notes will mature on July 31, 2028, and may be redeemed in whole or in part at any time or from time to time at the Company’s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5.50% Unsecured Notes as of September 30, 2026 was approximately $738,000. As of September 30, 2026, the Company had unamortized deferred debt issuance costs of approximately $708,000 relating to the 5.50% Unsecured Notes. The deferred debt issuance costs are being amortized over the term of the 5.50% Unsecured Notes and are included in interest expense in the statements of operations. The cash paid and the effective annualized interest rate for the three months ended September 30, 2026 were approximately $1.1 million and 5.93%, respectively. The cash paid and the effective annualized interest rate for the nine months ended September 30, 2026 were approximately $3.3 million and 5.99%, respectively. The cash paid and the effective annualized interest rate for the three months ended September 30, 2025 were approximately $1.1 million and 5.93%, respectively. The cash paid and the effective annualized interest rate for the nine months ended September 30, 2025 were approximately $3.3 million and 5.99%,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7.75% Unsecured Notes Due 2030 (the “7.75% Unsecured Notes”)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7, 2025, the Company completed an underwritten public offering of approximately $74.8 million in aggregate principal amount of 7.75% unsecured notes due 2030. The 7.75% Unsecured Notes will mature on July 31, 2030, and may be redeemed in whole or in part at any time or from time to time at the Company’s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6. BORROWINGS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accrued interest payable on the 7.75% Unsecured Notes as of September 30, 2026 was approximately $1.0 million. As of September 30, 2026, the Company had unamortized deferred debt issuance costs of approximately $2.2 million relating to the 7.75% Unsecured Notes. The deferred debt issuance costs are being amortized over the term of the 7.75% Unsecured Notes and are included in interest expense in the statements of operations. The cash paid and the effective annualized interest rate for the three months ended September 30, 2026 were approximately $1.4 million and 8.45%, respectively. The cash paid and the effective annualized interest rate for the nine months ended September 30, 2026 were approximately $4.3 million and 8.54%, respectively. There was no cash paid for the three and nine months ended September 30, 2025. The effective annualized interest rate for the three and nine months ended September 30, 2025 was approximately 8.62%.</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Notes Payable — 6.25% Unsecured Notes Due 2026 (the “6.25% Unsecured Notes”)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3, 2019, the Company completed an underwritten public offering of approximately $44.8 million in aggregate principal amount of 6.25% Unsecured Notes. The 6.25% Unsecured Notes would have matured on April 30, 2026, and could have been redeemed in whole or in part at any time or from time to time at the Company’s option on or after April 30, 2022. The 6.25% Unsecured Notes bore interest at a rate of 6.25% per year payable quarterly on January 31, April 30, July 31, and October 31, of each year.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June 13, 2025, the Company redeemed $10.0 million in aggregate principal amount of the 6.25% Unsecured Notes. On July 18, 2025, the Company redeemed $10.0 million in aggregate principal amount of the 6.25% Unsecured Notes. On September 19, 2025, the Company redeemed the remaining $24.8 million in aggregate principal amount of the 6.25% Unsecured Notes. In connection with the September 19, 2025 redemption, the 6.25% Unsecured Notes were delisted from the NASDAQ Global Select Market.</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cash paid and the effective annualized interest rate for the three months ended September 30, 2025 were approximately $734,000 and 6.81%, respectively. The cash paid and the effective annualized interest rate for the nine months ended September 30, 2025 were approximately $2.2 million and 6.82%, respectively.</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7. RELATED PARTY TRANSACTIONS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pays Oxford Square Management a fee for its services under the Investment Advisory Agreement consisting of — a base investment advisory fee (the “Base Fee”) based on its gross assets, as described below, and two types of incentive fees. The cost of both the Base Fee and any incentive fees earned by Oxford Square Management are ultimately borne by the Company’s common stockholders.</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described in greater detail under </w:t>
      </w:r>
      <w:r>
        <w:rPr>
          <w:rFonts w:ascii="Times New Roman PS Std;serif" w:hAnsi="Times New Roman PS Std;serif"/>
          <w:b w:val="false"/>
          <w:i/>
          <w:caps w:val="false"/>
          <w:smallCaps w:val="false"/>
          <w:sz w:val="20"/>
        </w:rPr>
        <w:t>Item 1. Business — Investment Advisory Agreement — Advisory Fee</w:t>
      </w:r>
      <w:r>
        <w:rPr>
          <w:rFonts w:ascii="Times New Roman PS Std;serif" w:hAnsi="Times New Roman PS Std;serif"/>
          <w:b w:val="false"/>
          <w:i w:val="false"/>
          <w:caps w:val="false"/>
          <w:smallCaps w:val="false"/>
          <w:sz w:val="20"/>
        </w:rPr>
        <w:t xml:space="preserve"> in its Annual Report on Form 10-K for the year ended December 31, 2025, the Company first calculates the Base Fee and any incentive fee under the terms of the Investment Advisory Agreement, then calculates the Base Fee and any incentive fee under the terms of the fee waiver letter unilaterally adopted by Oxford Square Management, effective April 1, 2016 (the “2016 Fee Waiver”), and, finally, adopts the lower of two combined results as the total fees payable to Oxford Square Management.</w:t>
      </w:r>
    </w:p>
    <w:p>
      <w:pPr>
        <w:pStyle w:val="TextBody"/>
        <w:keepNext w:val="true"/>
        <w:pageBreakBefore w:val="false"/>
        <w:widowControl/>
        <w:pBdr/>
        <w:bidi w:val="0"/>
        <w:spacing w:before="22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Base Fee</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Fee is payable quarterly in arrears, calculated based on a percentage of the average value of the Company’s gross assets at the end of the two most recently completed calendar quarters, and appropriately prorated for any partial quarter. Accordingly, the Base Fee will be payable regardless of whether the value of the Company’s gross assets has decreased during the quarter.</w:t>
      </w:r>
    </w:p>
    <w:p>
      <w:pPr>
        <w:pStyle w:val="TextBody"/>
        <w:keepNext w:val="false"/>
        <w:pageBreakBefore w:val="false"/>
        <w:widowControl/>
        <w:pBdr/>
        <w:bidi w:val="0"/>
        <w:spacing w:before="14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Investment Advisory Agreement, the Base Fee is calculated at an annual rate of 2.00%, and appropriately adjusted for any equity or debt capital raises, repurchases, or redemptions during the current calendar quarter.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2016 Fee Waiver, for the purpose of calculating the amount of total advisory fees (if any) to be waived during a particular calendar quarter, the Base Fee (as a portion of the total calculation) is calculated at an annual rate of 1.50%, and adjusted pro rata for any share issuances, debt issuances, repurchases or redemptions during the current calendar quarter; provided, however, that no Base Fee is payable on the cash proceeds received by the Company in connection with any share or debt issuances until such proceeds have been invested in accordance with the Company’s investment objectives.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represents the portion of the total advisory fee ascribed to the Base Fee (pursuant to the 2016 Fee Waiver calculation) for the three and nine months ended September 30, 2026 and 2025, respectively:</w:t>
      </w:r>
    </w:p>
    <w:tbl>
      <w:tblPr>
        <w:tblW w:w="8973" w:type="dxa"/>
        <w:jc w:val="left"/>
        <w:tblInd w:w="0" w:type="dxa"/>
        <w:tblLayout w:type="fixed"/>
        <w:tblCellMar>
          <w:top w:w="0" w:type="dxa"/>
          <w:left w:w="0" w:type="dxa"/>
          <w:bottom w:w="0" w:type="dxa"/>
          <w:right w:w="0" w:type="dxa"/>
        </w:tblCellMar>
      </w:tblPr>
      <w:tblGrid>
        <w:gridCol w:w="1561"/>
        <w:gridCol w:w="146"/>
        <w:gridCol w:w="661"/>
        <w:gridCol w:w="1079"/>
        <w:gridCol w:w="146"/>
        <w:gridCol w:w="639"/>
        <w:gridCol w:w="1042"/>
        <w:gridCol w:w="146"/>
        <w:gridCol w:w="639"/>
        <w:gridCol w:w="1042"/>
        <w:gridCol w:w="146"/>
        <w:gridCol w:w="619"/>
        <w:gridCol w:w="1107"/>
      </w:tblGrid>
      <w:tr>
        <w:tc>
          <w:tcPr>
            <w:tcW w:w="15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7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7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156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 Fee</w:t>
            </w:r>
          </w:p>
        </w:tc>
        <w:tc>
          <w:tcPr>
            <w:tcW w:w="146" w:type="dxa"/>
            <w:tcBorders/>
            <w:shd w:fill="CCEEFF" w:val="clear"/>
            <w:vAlign w:val="bottom"/>
          </w:tcPr>
          <w:p>
            <w:pPr>
              <w:pStyle w:val="TableContents"/>
              <w:bidi w:val="0"/>
              <w:spacing w:before="0" w:after="283"/>
              <w:jc w:val="left"/>
            </w:pPr>
            <w:r>
              <w:t> </w:t>
            </w:r>
          </w:p>
        </w:tc>
        <w:tc>
          <w:tcPr>
            <w:tcW w:w="6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c>
          <w:tcPr>
            <w:tcW w:w="146" w:type="dxa"/>
            <w:tcBorders/>
            <w:shd w:fill="CCEEFF" w:val="clear"/>
            <w:vAlign w:val="bottom"/>
          </w:tcPr>
          <w:p>
            <w:pPr>
              <w:pStyle w:val="TableContents"/>
              <w:bidi w:val="0"/>
              <w:spacing w:before="0" w:after="283"/>
              <w:jc w:val="left"/>
            </w:pPr>
            <w:r>
              <w:t> </w:t>
            </w:r>
          </w:p>
        </w:tc>
        <w:tc>
          <w:tcPr>
            <w:tcW w:w="6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c>
          <w:tcPr>
            <w:tcW w:w="146" w:type="dxa"/>
            <w:tcBorders/>
            <w:shd w:fill="CCEEFF" w:val="clear"/>
            <w:vAlign w:val="bottom"/>
          </w:tcPr>
          <w:p>
            <w:pPr>
              <w:pStyle w:val="TableContents"/>
              <w:bidi w:val="0"/>
              <w:spacing w:before="0" w:after="283"/>
              <w:jc w:val="left"/>
            </w:pPr>
            <w:r>
              <w:t> </w:t>
            </w:r>
          </w:p>
        </w:tc>
        <w:tc>
          <w:tcPr>
            <w:tcW w:w="63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4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c>
          <w:tcPr>
            <w:tcW w:w="146" w:type="dxa"/>
            <w:tcBorders/>
            <w:shd w:fill="CCEEFF" w:val="clear"/>
            <w:vAlign w:val="bottom"/>
          </w:tcPr>
          <w:p>
            <w:pPr>
              <w:pStyle w:val="TableContents"/>
              <w:bidi w:val="0"/>
              <w:spacing w:before="0" w:after="283"/>
              <w:jc w:val="left"/>
            </w:pPr>
            <w:r>
              <w:t> </w:t>
            </w:r>
          </w:p>
        </w:tc>
        <w:tc>
          <w:tcPr>
            <w:tcW w:w="61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0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Fee payable to Oxford Square Management as of September 30, 2026 and December 31, 2025 was approximately $1.0 million and $1.0 million, respectively.</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incentive fees are commonly referred to as the “Income Incentive Fee” and the “Capital Gains Incentive Fee,” with the first fee payable quarterly in arrears and the second fee payable in arrears at the end of each calendar year.</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Net Investment Income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first fee (the “Net Investment Income Incentive Fee”), is determined by reference to the Company’s “Pre-Incentive Fee Net Investment Income” (as defined below). Given that this incentive fee is payable without regard to any gain, loss or unrealized depreciation that may occur during the quarter, Oxford Square Management’s incentive fee may be payable notwithstanding a decline in net asset value that quarter.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Investment Advisory Agreement, the Net Investment Income Incentive Fee is calculated based on the Company’s “Pre-Incentive Fee Net Investment Income” for the immediately preceding calendar quarter.</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this purpose, “Pre-Incentive Fee Net Investment Income” means interest income, dividend income and any other income (including any other fees, such as commitment, origination, structuring, diligence and consulting fees or other fees that the Company receives from portfolio companies) accrued during the calendar quarter minus the Company’s operating expenses for the quarter (including the Base Fee, expenses payable under the administration agreement,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realized capital losses or unrealized capital appreciation or depreciation.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Pre-Incentive Fee Net Investment Income, expressed as a rate of return on the value of the Company’s net assets at the end of the immediately preceding calendar quarter, is compared to one-fourth of an annual “hurdle rate.” The annual hurdle rate is determined as of the immediately preceding December 31st by adding 5.0% to the interest rate then payable on the most recently issued five-year U.S. Treasury Notes, up to a maximum annual hurdle rate of 10.0%. The annual hurdle rates for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 and 2025 calendar years, calculated as of the immediately preceding December 31st, were 8.73% and 9.38% respectively, under the terms of the Investment Advisory Agreement. The Company’s net investment income (to the extent not distributed to stockholders) used to calculate the Net Investment Income Incentive Fee was also included in the amount of gross assets used to calculate the 2% Base Fee.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operation of the incentive fee with respect to the Company’s Pre-Incentive Fee Net Investment Income for each quarter is as follows:</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no incentive fee is payable to Oxford Square Management in any calendar quarter in which the Pre-Incentive Fee Net Investment Income does not exceed one fourth of the annual hurdle rate (8.73% for the 2026 calendar year).</w:t>
      </w:r>
    </w:p>
    <w:p>
      <w:pPr>
        <w:pStyle w:val="TextBody"/>
        <w:keepNext w:val="false"/>
        <w:pageBreakBefore w:val="false"/>
        <w:widowControl/>
        <w:pBdr/>
        <w:bidi w:val="0"/>
        <w:spacing w:before="160" w:after="283"/>
        <w:ind w:left="192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20% of the amount of the Pre-Incentive Fee Net Investment Income, if any, that exceeds one-fourth of the annual hurdle rate (8.73% for the 2026 calendar year) in any calendar quarter is payable to Oxford Square Management (i.e., once the hurdle rate is reached, 20% of all Pre-Incentive Fee Net Investment Income thereafter will be allocated to Oxford Square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terms of the 2016 Fee Waiver, for the purpose of calculating the amount of total advisory fees (if any) to be waived during a particular calendar quarter, the Income Incentive Fee (as a portion of the total calculation) is calculated based on the amount by which (x) the “Pre-Incentive Fee Net Investment Income” for the calendar quarter exceeds (y) the “Preferred Return Amount” (as defined below) for the calendar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“Preferred Return Amount” is calculated on a quarterly basis by multiplying 1.75% by the Company’s net asset value at the end of the immediately preceding calendar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Net Investment Income Incentive Fee is then calculated as follows: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no Net Investment Income Incentive Fee is payable to Oxford Square Management in any calendar quarter in which the “Pre-Incentive Fee Net Investment Income” does not exceed the “Preferred Return Amount”;</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100% of the “Pre-Incentive Fee Net Investment Income” for such quarter, if any, that exceeds the “Preferred Return Amount” but is less than or equal to a “Catch-Up Amount” determined on a quarterly basis by multiplying 2.1875% by OXSQ’s net asset value at the end of such calendar quarter;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for any quarter in which the “Pre-Incentive Fee Net Investment Income” exceeds the “Catch-Up Amount,” the Net Investment Income Incentive Fee will be 20% of the amount of the “Pre-Incentive Fee Net Investment Income” for such quarter.</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There is no accumulation of amounts from quarter to quarter for the “Preferred Return Amount,” and accordingly there is no claw back of amounts previously paid to Oxford Square Management if the “Pre-Incentive Fee Net Investment Income” for subsequent quarters is below the quarterly “Preferred Return Amount,” and there is no delay of payment of incentive fees to Oxford Square Management if the “Pre-Incentive Fee Net Investment Income” for prior quarters is below the quarterly “Preferred Return Amount” for the quarter for which the calculation is being made.</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The calculation of the Company’s Net Investment Income Incentive Fee is subject to a total return requirement that provides that a Net Investment Income Incentive Fee will not be payable to Oxford Square Management except to the extent 20% of the “cumulative net increase in net assets resulting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operations” (which is the amount, if positive, of the sum of the “Pre-Incentive Fee Net Investment Income,” realized gains and losses and unrealized appreciation and depreciation) during the calendar quarter for which such fees are being calculated and the eleven (11) preceding quarters exceeds the cumulative Net Investment Income Incentive Fees accrued and/or paid for such eleven (11) preceding quarters.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that the advisory fee calculations under the 2016 Fee Waiver produce a higher combined Base Fee and Net Investment Income Incentive Fee for any quarterly period, the combined fees are set to the original (lower) level, calculated pursuant to the Investment Advisory Agreement. In the event that advisory fee calculations under the 2016 Fee Waiver produce a lower combined Base Fee and Net Investment Income Incentive Fee for that quarterly period, those lower combined fees are adopted for that quarterly period. In either case, the lower level of combined fees is used for that quarter, and, accordingly, the advisory fee payable to Oxford Square Management can only be reduced, and never increased, as a result of the 2016 Fee Waiver.</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represents the portion of the total advisory fee ascribed to Net Investment Income Incentive Fees (pursuant to the 2016 Fee Waiver calculation) for the three and nine months ended September 30, 2026 and 2025, respectively.</w:t>
      </w:r>
    </w:p>
    <w:tbl>
      <w:tblPr>
        <w:tblW w:w="10205" w:type="dxa"/>
        <w:jc w:val="left"/>
        <w:tblInd w:w="0" w:type="dxa"/>
        <w:tblLayout w:type="fixed"/>
        <w:tblCellMar>
          <w:top w:w="0" w:type="dxa"/>
          <w:left w:w="0" w:type="dxa"/>
          <w:bottom w:w="0" w:type="dxa"/>
          <w:right w:w="0" w:type="dxa"/>
        </w:tblCellMar>
      </w:tblPr>
      <w:tblGrid>
        <w:gridCol w:w="2852"/>
        <w:gridCol w:w="146"/>
        <w:gridCol w:w="760"/>
        <w:gridCol w:w="921"/>
        <w:gridCol w:w="146"/>
        <w:gridCol w:w="760"/>
        <w:gridCol w:w="921"/>
        <w:gridCol w:w="146"/>
        <w:gridCol w:w="760"/>
        <w:gridCol w:w="921"/>
        <w:gridCol w:w="146"/>
        <w:gridCol w:w="729"/>
        <w:gridCol w:w="997"/>
      </w:tblGrid>
      <w:tr>
        <w:tc>
          <w:tcPr>
            <w:tcW w:w="28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7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285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Incentive Fee</w:t>
            </w:r>
          </w:p>
        </w:tc>
        <w:tc>
          <w:tcPr>
            <w:tcW w:w="146" w:type="dxa"/>
            <w:tcBorders/>
            <w:shd w:fill="CCEEFF" w:val="clear"/>
            <w:vAlign w:val="bottom"/>
          </w:tcPr>
          <w:p>
            <w:pPr>
              <w:pStyle w:val="TableContents"/>
              <w:bidi w:val="0"/>
              <w:spacing w:before="0" w:after="283"/>
              <w:jc w:val="left"/>
            </w:pPr>
            <w:r>
              <w:t> </w:t>
            </w:r>
          </w:p>
        </w:tc>
        <w:tc>
          <w:tcPr>
            <w:tcW w:w="7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1" w:type="dxa"/>
            <w:tcBorders>
              <w:bottom w:val="double" w:sz="2" w:space="0" w:color="000000"/>
            </w:tcBorders>
            <w:shd w:fill="CCEEFF" w:val="clear"/>
            <w:tcMar>
              <w:bottom w:w="28" w:type="dxa"/>
            </w:tcM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1" w:type="dxa"/>
            <w:tcBorders>
              <w:bottom w:val="double" w:sz="2" w:space="0" w:color="000000"/>
            </w:tcBorders>
            <w:shd w:fill="CCEEFF" w:val="clear"/>
            <w:tcMar>
              <w:bottom w:w="28" w:type="dxa"/>
            </w:tcM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1" w:type="dxa"/>
            <w:tcBorders>
              <w:bottom w:val="double" w:sz="2" w:space="0" w:color="000000"/>
            </w:tcBorders>
            <w:shd w:fill="CCEEFF" w:val="clear"/>
            <w:tcMar>
              <w:bottom w:w="28" w:type="dxa"/>
            </w:tcMar>
            <w:vAlign w:val="bottom"/>
          </w:tcPr>
          <w:p>
            <w:pPr>
              <w:pStyle w:val="TableContents"/>
              <w:bidi w:val="0"/>
              <w:spacing w:before="0" w:after="283"/>
              <w:jc w:val="right"/>
            </w:pPr>
            <w:r>
              <w:t>—</w:t>
            </w:r>
          </w:p>
        </w:tc>
        <w:tc>
          <w:tcPr>
            <w:tcW w:w="146" w:type="dxa"/>
            <w:tcBorders/>
            <w:shd w:fill="CCEEFF" w:val="clear"/>
            <w:vAlign w:val="bottom"/>
          </w:tcPr>
          <w:p>
            <w:pPr>
              <w:pStyle w:val="TableContents"/>
              <w:bidi w:val="0"/>
              <w:spacing w:before="0" w:after="283"/>
              <w:jc w:val="left"/>
            </w:pPr>
            <w:r>
              <w:t> </w:t>
            </w:r>
          </w:p>
        </w:tc>
        <w:tc>
          <w:tcPr>
            <w:tcW w:w="72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7" w:type="dxa"/>
            <w:tcBorders>
              <w:bottom w:val="double" w:sz="2" w:space="0" w:color="000000"/>
            </w:tcBorders>
            <w:shd w:fill="CCEEFF" w:val="clear"/>
            <w:tcMar>
              <w:bottom w:w="28" w:type="dxa"/>
            </w:tcMar>
            <w:vAlign w:val="bottom"/>
          </w:tcPr>
          <w:p>
            <w:pPr>
              <w:pStyle w:val="TableContents"/>
              <w:bidi w:val="0"/>
              <w:spacing w:before="0" w:after="283"/>
              <w:jc w:val="right"/>
            </w:pPr>
            <w: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payable to Oxford Square Management as of September 30, 2026 and December 31, 2025.</w:t>
      </w:r>
    </w:p>
    <w:p>
      <w:pPr>
        <w:pStyle w:val="TextBody"/>
        <w:keepNext w:val="true"/>
        <w:pageBreakBefore w:val="false"/>
        <w:widowControl/>
        <w:pBdr/>
        <w:bidi w:val="0"/>
        <w:spacing w:before="240" w:after="283"/>
        <w:jc w:val="left"/>
        <w:rPr>
          <w:rFonts w:ascii="Times New Roman PS Std;serif" w:hAnsi="Times New Roman PS Std;serif"/>
          <w:b w:val="false"/>
          <w:i w:val="false"/>
          <w:caps w:val="false"/>
          <w:smallCaps w:val="false"/>
          <w:sz w:val="20"/>
          <w:u w:val="single"/>
        </w:rPr>
      </w:pPr>
      <w:r>
        <w:rPr>
          <w:rFonts w:ascii="Times New Roman PS Std;serif" w:hAnsi="Times New Roman PS Std;serif"/>
          <w:b w:val="false"/>
          <w:i w:val="false"/>
          <w:caps w:val="false"/>
          <w:smallCaps w:val="false"/>
          <w:sz w:val="20"/>
          <w:u w:val="single"/>
        </w:rPr>
        <w:t>Capital Gains Incentive Fee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Capital Gains Incentive Fee, which is calculated identically under the Investment Advisory Agreement and under the 2016 Fee Waiver, is determined and payable in arrears as of the end of each calendar year (or upon termination of the Investment Advisory Agreement, as of the termination date), and equals 20% of the Company’s “Incentive Fee Capital Gains,” which consists of its realized capital gains for each calendar year, computed net of all realized capital losses and unrealized capital depreciation for that calendar year. For accounting purposes only, in order to reflect the theoretical Capital Gains Incentive Fee that would be payable for a given period as if all unrealized gains were realized, the Company will accrue a Capital Gains Incentive Fee based upon net realized gains and unrealized depreciation for that calendar year (in accordance with the terms of the Investment Advisory Agreement), plus unrealized appreciation on investments held at the end of the period. It should be noted that a fee so calculated and accrued would not necessarily be payable under the Investment Advisory Agreement, and may never be paid based upon the computation of Capital Gains Incentive Fees in subsequent periods. Amounts paid under the Investment Advisory Agreement will be consistent with the formula reflected in the Investment Advisory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Capital Gains Incentive Fee expense related to the hypothetical liquidation of the portfolio (and assuming no other changes in realized or unrealized gains and losses) would only become payable to Oxford Square Management in the event of a complete liquidation of the Company’s portfolio as of period end and the termination of the Investment Advisory Agreement on such date. Also, it should be noted that the Capital Gains Incentive Fee expense fluctuates with the Company’s overall investment results.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Capital Gains Incentive Fees based on hypothetical liquidation for the three and nine months ended September 30, 2026 and 2025. There were no accrued Capital Gains Incentive Fees payable to Oxford Square Management as of September 30, 2026 and December 31, 2025.</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also entered into the Administration Agreement with Oxford Funds under which Oxford Funds provides administrative services for the Company. The Company pays Oxford Funds an allocable portion of overhead and other expenses incurred by Oxford Funds on its behalf under the Administration Agreement, including a portion of the rent and the compensation of the Chief Financial Officer, accounting staff and other administrative support personnel, which creates potential conflicts of interest that the Board must monitor. The Company also reimburses Oxford Funds for the costs associated with the functions performed by the Company’s Chief Compliance Officer that Oxford Funds pays on the Company’s behalf pursuant to the terms of an agreement between the Company and ACA Group, LLC.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is controlled by Oxford Funds, its managing member. Charles M. Royce, a member of the Board, holds a minority, non-controlling interest in Oxford Square Management. Oxford Funds manages the business and internal affairs of Oxford Square Management. Jonathan H. Cohen, the Company’s Chief Executive Officer, as well as a Director, is the Chief Executive Officer of Oxford Square Management and managing member of Oxford Funds. Saul B. Rosenthal, the Company’s President and Chief Operating Officer, is also the President and Chief Operating Officer of Oxford Square Management and a member of Oxford Funds. Messrs. Cohen and Rosenthal together control the equity interests in Oxford Funds.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2026 and 2025, the Company incurred approximately $298,000 and $254,000, respectively, in compensation expenses for the services of employees allocated to the administrative activities of the Company, pursuant to the Administration Agreement with Oxford Funds. For the nine months ended September 30, 2026 and 2025, the Company incurred approximately $777,000 and $722,000, respectively, in compensation expenses. In addition, the Company incurred approximately $15,000 and $14,000 for facility costs allocated under the Administration Agreement for the three months ended September 30, 2026 and 2025, respectively. The Company incurred approximately $44,000 and $43,000 for facility costs for the nine months ended September 30, 2026 and 2025, respectively. As of September 30, 2026, approximately $86,000 of accrued compensation expenses were payable under the Administration Agreement. As of December 31, 2025, approximately $26,000 of accrued compensation expenses were payable under the Administration Agreement.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6, 2026, the Company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exemptive relief (the “Co-Investment Order”). The Co-Investment Order, which supersedes the co-investment order issued to the Company on June 14, 2017, is a new form of co-investment exemptive relief that adopts a more flexible requirement that allocations be “fair and equitable” to the Company and that Oxford Square Management considers the interests of the Company and other affiliated 1940 Act-regulated funds that rely on the Co-Investment Order in allocations and which minimizes certain board approval requirements as compared to the prior form of co-investment exemptive relief. Among other things, under the Co-Investment Order, the terms, conditions, price, class of securities to be purchased in respect of a particular investment, the date on which such investment is to be made and any registration rights applicable thereto, must be generally the same for the Company and each other participating affiliated entity.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7. RELATED PARTY TRANSACTIONS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requirements of the Co-Investment Order (including any requirements for board approval thereunder), as well as other regulatory requirements associated with the Company and other affiliated 1940 Act-regulated funds that rely on the Co-Investment Order, potentially will impact the investment allocations among participating entities (including, for the avoidance of doubt, the Company) or otherwise impact allocation results. Any changes to the Co-Investment Order or the rules and other guidance promulgated by the SEC and its staff under the 1940 Act could impact allocations made available to the Company and thereby affect (and potentially decrease) the allocation made to us or otherwise impact the process for allocations in transactions in which the Company participates.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8. EARNINGS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computation of basic and diluted net increase and decrease in net assets resulting from net investment income and operations per share for the three and nine months ended September 30, 2026 and 2025, respectively:</w:t>
      </w:r>
    </w:p>
    <w:tbl>
      <w:tblPr>
        <w:tblW w:w="10205" w:type="dxa"/>
        <w:jc w:val="left"/>
        <w:tblInd w:w="0" w:type="dxa"/>
        <w:tblLayout w:type="fixed"/>
        <w:tblCellMar>
          <w:top w:w="0" w:type="dxa"/>
          <w:left w:w="0" w:type="dxa"/>
          <w:bottom w:w="0" w:type="dxa"/>
          <w:right w:w="0" w:type="dxa"/>
        </w:tblCellMar>
      </w:tblPr>
      <w:tblGrid>
        <w:gridCol w:w="2501"/>
        <w:gridCol w:w="146"/>
        <w:gridCol w:w="291"/>
        <w:gridCol w:w="1390"/>
        <w:gridCol w:w="146"/>
        <w:gridCol w:w="286"/>
        <w:gridCol w:w="1246"/>
        <w:gridCol w:w="241"/>
        <w:gridCol w:w="146"/>
        <w:gridCol w:w="286"/>
        <w:gridCol w:w="1321"/>
        <w:gridCol w:w="241"/>
        <w:gridCol w:w="146"/>
        <w:gridCol w:w="286"/>
        <w:gridCol w:w="1246"/>
        <w:gridCol w:w="286"/>
      </w:tblGrid>
      <w:tr>
        <w:tc>
          <w:tcPr>
            <w:tcW w:w="250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pPr>
            <w: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Ended</w:t>
              <w:br/>
              <w:t>September 30,</w:t>
              <w:br/>
              <w:t>2026</w:t>
            </w:r>
          </w:p>
        </w:tc>
        <w:tc>
          <w:tcPr>
            <w:tcW w:w="146" w:type="dxa"/>
            <w:tcBorders/>
            <w:vAlign w:val="bottom"/>
          </w:tcPr>
          <w:p>
            <w:pPr>
              <w:pStyle w:val="TableContents"/>
              <w:bidi w:val="0"/>
              <w:spacing w:before="0" w:after="283"/>
              <w:jc w:val="left"/>
            </w:pPr>
            <w: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2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w:t>
            </w:r>
          </w:p>
        </w:tc>
        <w:tc>
          <w:tcPr>
            <w:tcW w:w="146"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4,913,638</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5,558,742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14,201,494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17,162,181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common shares outstanding</w:t>
            </w:r>
          </w:p>
        </w:tc>
        <w:tc>
          <w:tcPr>
            <w:tcW w:w="146" w:type="dxa"/>
            <w:tcBorders/>
            <w:vAlign w:val="bottom"/>
          </w:tcPr>
          <w:p>
            <w:pPr>
              <w:pStyle w:val="TableContents"/>
              <w:bidi w:val="0"/>
              <w:spacing w:before="0" w:after="283"/>
              <w:jc w:val="left"/>
            </w:pPr>
            <w:r>
              <w:t> </w:t>
            </w:r>
          </w:p>
        </w:tc>
        <w:tc>
          <w:tcPr>
            <w:tcW w:w="2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111,280,920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79,362,161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99,695,097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74,231,017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net investment income per common share</w:t>
            </w:r>
          </w:p>
        </w:tc>
        <w:tc>
          <w:tcPr>
            <w:tcW w:w="146"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25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w:t>
            </w:r>
          </w:p>
        </w:tc>
        <w:tc>
          <w:tcPr>
            <w:tcW w:w="146" w:type="dxa"/>
            <w:tcBorders/>
            <w:vAlign w:val="bottom"/>
          </w:tcPr>
          <w:p>
            <w:pPr>
              <w:pStyle w:val="TableContents"/>
              <w:bidi w:val="0"/>
              <w:spacing w:before="0" w:after="283"/>
              <w:jc w:val="left"/>
            </w:pPr>
            <w:r>
              <w:t> </w:t>
            </w:r>
          </w:p>
        </w:tc>
        <w:tc>
          <w:tcPr>
            <w:tcW w:w="2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1,564,060</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(2,092,163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(19,967,211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(5,828,321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5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assets resulting from operations per common share</w:t>
            </w:r>
          </w:p>
        </w:tc>
        <w:tc>
          <w:tcPr>
            <w:tcW w:w="146" w:type="dxa"/>
            <w:tcBorders/>
            <w:shd w:fill="CCEEFF" w:val="clear"/>
            <w:vAlign w:val="bottom"/>
          </w:tcPr>
          <w:p>
            <w:pPr>
              <w:pStyle w:val="TableContents"/>
              <w:bidi w:val="0"/>
              <w:spacing w:before="0" w:after="283"/>
              <w:jc w:val="left"/>
            </w:pPr>
            <w:r>
              <w:t> </w:t>
            </w:r>
          </w:p>
        </w:tc>
        <w:tc>
          <w:tcPr>
            <w:tcW w:w="29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9.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continue to operate so as to qualify to be taxed as a RIC under the Code and, as such, the Company would not be subject to federal income tax on the portion of its taxable income and gains distributed to stockholders. To qualify to be taxed as a RIC, the Company is required, among other requirements, to distribute at least 90% of its annual investment company taxable income, as defined by the Code. The amount to be paid out as a distribution each quarter is determined by the Board and is based upon the annual taxable income estimated by the management of the Company. Income calculated in accordance with U.S. federal income tax regulations differs substantially from GAAP income. To the extent that the Company’s cumulative undistributed taxable earnings fall below the amount of distributions declared, however, a portion of the total amount of the Company’s distributions for the fiscal year may be deemed a return of capital for tax purposes to the Company’s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intends to comply with the applicable provisions of the Code pertaining to RICs to make distributions of taxable income sufficient to relieve it of substantially all federal income taxes. The Company, at its discretion, may carry forward taxable income in excess of calendar year distributions and pay a 4% excise tax on such income. The Company will accrue excise tax on estimated excess taxable income, if any, as required. The Company did not accrue any estimated excise tax payable for 2025 and estimated 2026 excise tax on undistributed taxable income as of September 30, 2026, as there was no excise tax due for 2025, and the Company estimates that there will be no excise tax for 2026. As such, the Company reversed approximately $419,000 of previously accrued excise tax related to estimated excess undistributed taxable income as of December 31,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9. DISTRIBUTIONS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adopted an “opt out” distribution reinvestment plan for its common stockholders. As a result, if the Company makes a cash distribution, then stockholders’ cash distributions will be automatically reinvested in additional shares of common stock, unless they specifically “opt out” of the distribution reinvestment plan so as to receive cash distributions. During the three months ended September 30, 2026 and 2025, the Company issued 913,061 and 69,140 shares, respectively, of common stock for approximately $1.1 million and $148,000, respectively, to stockholders in connection with the distribution reinvestment plan. During the nine months ended September 30, 2026 and 2025, the Company issued 1,472,443 and 262,296 shares, respectively, of common stock for approximately $2.0 million and $610,000, respectively, to stockholders in connection with the distribution reinvestment plan. For the three months ended September 30, 2026, the Company paid distributions of approximately $11.7 million, or $0.105 per share. For the nine months ended September 30, 2026, the Company paid distributions of approximately $31.5 million, or $0.315 per share. For the year ended December 31, 2025, the Company paid distributions of approximately $32.1 million, or $0.42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Regulated Investment Company Modernization Act of 2010 (the “Act”), the Company is permitted to carry forward capital losses incurred in taxable years beginning after the date of enactment for an unlimited period. However, any losses incurred during those future taxable years will be required to be utilized prior to the losses incurred in pre-enactment taxable years, which carry an expiration date. As a result of this ordering rule, pre-enactment capital loss carryforwards may be more likely to expire unused. Additionally, post-enactment capital losses that are carried forward will retain their character as either short-term or long-term losses rather than being considered all short-term as under previous law.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2026, the amounts and sources of distributions reported are only estimates (based on an average of the reported tax character historically) and are not being provided for U.S. federal income tax reporting purposes. The timing and character of distributions for U.S. federal income tax purposes (which are determined in accordance with the U.S. federal tax rules which may differ from GAAP) may be materially different than the historical information the Company used in providing the estimates herein. The final determination of the source of all distributions in 2026 will be made after year-end and the amounts represented may be materially different from the amounts disclosed in the final Form 1099-DIV notice. The actual amounts and sources of the amounts for tax reporting purposes will depend upon the Company’s investment performance and may be subject to change based on tax regulations.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10. NET ASSET VALUE PER SHARE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net asset value per share as of September 30, 2026, and December 31, 2025, was $1.21 and $1.69, respectively. In determining the Company’s net asset value per share, the Board determined in good faith the fair value of the Company’s portfolio investments for which reliable market quotations are not readily available.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11. SHARE ISSUANCE AND REPURCHASE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2024, the Company entered into the amended and restated equity distribution agreement, as amended by Amendment No. 1 dated as of May 5, 2026 (the “Amended and Restated Equity Distribution Agreement”) with Lucid Capital Markets, LLC and Ladenburg Thalmann &amp; Co. Inc., as the sales agents, through which the Company may offer for sale, from time to time, up to $150.0 million of the Company’s common stock through an At-the-Market (“ATM”) offering. The Company sold a total of 14,077,235 and 32,515,131 shares of common stock pursuant to the ATM offering during the three months and nine months ended September 30, 2026, respectively. The total amount of capital raised net of underwriting fees and offering costs was approximately $19.4 million and $49.5 million during the three and nine months ended September 30, 2026, respectively.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11. SHARE ISSUANCE AND REPURCHASE PROGRAMS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the Board may authorize a share repurchase program under which shares are purchased in open market transactions. Since the Company is incorporated in Maryland, MGCL requires share repurchases to be accounted for as a share retirement. The cost of repurchased shares is charged against capital on the settlement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Under the Share Repurchase Program, the Company could have repurchased, during the 12-month period commencing on October 30, 2025, up to $25.0 million in the aggregate of the Company’s outstanding common stock in the open market. The timing, manner, price and amount of any share repurchases would have been determined by the Company, in its discretion, based upon the evaluation of economic and market conditions, the Company’s stock price, applicable legal, contractual and regulatory requirements and other factors. The Share Repurchase Program was effective until October 30, 2026. The Share Repurchase Program did not require the Company to repurchase any specific number of shares, and the Company could not assure stockholders that any shares will be repurchased under the Share Repurchase Program. During the three and nine months ended September 30, 2026, no shares were repurchased under the Share Repurchase Program.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12. 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components of investment income for the three and nine months ended September 30, 2026 and 2025, respectively:</w:t>
      </w:r>
    </w:p>
    <w:tbl>
      <w:tblPr>
        <w:tblW w:w="9925" w:type="dxa"/>
        <w:jc w:val="left"/>
        <w:tblInd w:w="0" w:type="dxa"/>
        <w:tblLayout w:type="fixed"/>
        <w:tblCellMar>
          <w:top w:w="0" w:type="dxa"/>
          <w:left w:w="0" w:type="dxa"/>
          <w:bottom w:w="0" w:type="dxa"/>
          <w:right w:w="0" w:type="dxa"/>
        </w:tblCellMar>
      </w:tblPr>
      <w:tblGrid>
        <w:gridCol w:w="6226"/>
        <w:gridCol w:w="146"/>
        <w:gridCol w:w="340"/>
        <w:gridCol w:w="1341"/>
        <w:gridCol w:w="146"/>
        <w:gridCol w:w="313"/>
        <w:gridCol w:w="1413"/>
      </w:tblGrid>
      <w:tr>
        <w:tc>
          <w:tcPr>
            <w:tcW w:w="6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7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pPr>
            <w:r>
              <w:t> </w:t>
            </w:r>
          </w:p>
        </w:tc>
        <w:tc>
          <w:tcPr>
            <w:tcW w:w="34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3" w:type="dxa"/>
            <w:tcBorders/>
            <w:shd w:fill="CCEEFF" w:val="clear"/>
            <w:vAlign w:val="bottom"/>
          </w:tcPr>
          <w:p>
            <w:pPr>
              <w:pStyle w:val="TableContents"/>
              <w:bidi w:val="0"/>
              <w:spacing w:before="0" w:after="283"/>
              <w:jc w:val="left"/>
            </w:pPr>
            <w:r>
              <w:t> </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pPr>
            <w:r>
              <w:t> </w:t>
            </w:r>
          </w:p>
        </w:tc>
        <w:tc>
          <w:tcPr>
            <w:tcW w:w="3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3,463,165</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3,810,589</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pPr>
            <w:r>
              <w:t> </w:t>
            </w:r>
          </w:p>
        </w:tc>
        <w:tc>
          <w:tcPr>
            <w:tcW w:w="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1,174,554</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615,706</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 derived from unscheduled remittances at par</w:t>
            </w:r>
          </w:p>
        </w:tc>
        <w:tc>
          <w:tcPr>
            <w:tcW w:w="146" w:type="dxa"/>
            <w:tcBorders/>
            <w:vAlign w:val="bottom"/>
          </w:tcPr>
          <w:p>
            <w:pPr>
              <w:pStyle w:val="TableContents"/>
              <w:bidi w:val="0"/>
              <w:spacing w:before="0" w:after="283"/>
              <w:jc w:val="left"/>
            </w:pPr>
            <w: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51,164</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30,249</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pPr>
            <w: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4,688,883</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4,456,544</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pPr>
            <w:r>
              <w:t> </w:t>
            </w:r>
          </w:p>
        </w:tc>
        <w:tc>
          <w:tcPr>
            <w:tcW w:w="3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944,668</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705,534</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pPr>
            <w: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3,623,609</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4,298,003</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pPr>
            <w:r>
              <w:t> </w:t>
            </w:r>
          </w:p>
        </w:tc>
        <w:tc>
          <w:tcPr>
            <w:tcW w:w="34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4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3" w:type="dxa"/>
            <w:tcBorders/>
            <w:vAlign w:val="bottom"/>
          </w:tcPr>
          <w:p>
            <w:pPr>
              <w:pStyle w:val="TableContents"/>
              <w:bidi w:val="0"/>
              <w:spacing w:before="0" w:after="283"/>
              <w:jc w:val="left"/>
            </w:pPr>
            <w:r>
              <w:t> </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pPr>
            <w: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196,162</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185,340</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w:t>
            </w:r>
          </w:p>
        </w:tc>
        <w:tc>
          <w:tcPr>
            <w:tcW w:w="146" w:type="dxa"/>
            <w:tcBorders/>
            <w:vAlign w:val="bottom"/>
          </w:tcPr>
          <w:p>
            <w:pPr>
              <w:pStyle w:val="TableContents"/>
              <w:bidi w:val="0"/>
              <w:spacing w:before="0" w:after="283"/>
              <w:jc w:val="left"/>
            </w:pPr>
            <w:r>
              <w:t> </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453,309</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594,512</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pPr>
            <w:r>
              <w:t> </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649,471</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779,852</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pPr>
            <w:r>
              <w:t> </w:t>
            </w:r>
          </w:p>
        </w:tc>
        <w:tc>
          <w:tcPr>
            <w:tcW w:w="3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9,906,631</w:t>
            </w:r>
          </w:p>
        </w:tc>
        <w:tc>
          <w:tcPr>
            <w:tcW w:w="146" w:type="dxa"/>
            <w:tcBorders/>
            <w:vAlign w:val="bottom"/>
          </w:tcPr>
          <w:p>
            <w:pPr>
              <w:pStyle w:val="TableContents"/>
              <w:bidi w:val="0"/>
              <w:spacing w:before="0" w:after="283"/>
              <w:jc w:val="left"/>
            </w:pPr>
            <w:r>
              <w:t> </w:t>
            </w:r>
          </w:p>
        </w:tc>
        <w:tc>
          <w:tcPr>
            <w:tcW w:w="3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10,239,933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12. INVESTMENT INCOME </w:t>
      </w:r>
      <w:r>
        <w:rPr>
          <w:rFonts w:ascii="Times New Roman PS Std;serif" w:hAnsi="Times New Roman PS Std;serif"/>
          <w:b w:val="false"/>
          <w:i w:val="false"/>
          <w:caps w:val="false"/>
          <w:smallCaps w:val="false"/>
          <w:sz w:val="20"/>
        </w:rPr>
        <w:t>(cont.)</w:t>
      </w:r>
    </w:p>
    <w:tbl>
      <w:tblPr>
        <w:tblW w:w="9925" w:type="dxa"/>
        <w:jc w:val="left"/>
        <w:tblInd w:w="0" w:type="dxa"/>
        <w:tblLayout w:type="fixed"/>
        <w:tblCellMar>
          <w:top w:w="0" w:type="dxa"/>
          <w:left w:w="0" w:type="dxa"/>
          <w:bottom w:w="0" w:type="dxa"/>
          <w:right w:w="0" w:type="dxa"/>
        </w:tblCellMar>
      </w:tblPr>
      <w:tblGrid>
        <w:gridCol w:w="6226"/>
        <w:gridCol w:w="146"/>
        <w:gridCol w:w="313"/>
        <w:gridCol w:w="1368"/>
        <w:gridCol w:w="146"/>
        <w:gridCol w:w="313"/>
        <w:gridCol w:w="1413"/>
      </w:tblGrid>
      <w:tr>
        <w:tc>
          <w:tcPr>
            <w:tcW w:w="6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68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726"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8"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3" w:type="dxa"/>
            <w:tcBorders/>
            <w:shd w:fill="CCEEFF" w:val="clear"/>
            <w:vAlign w:val="bottom"/>
          </w:tcPr>
          <w:p>
            <w:pPr>
              <w:pStyle w:val="TableContents"/>
              <w:bidi w:val="0"/>
              <w:spacing w:before="0" w:after="283"/>
              <w:jc w:val="left"/>
            </w:pPr>
            <w:r>
              <w:t> </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income(1)</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10,218,006</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11,449,428</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3,260,047</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2,032,425</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 derived from unscheduled remittances at par</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65,369</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29,288</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13,543,422</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13,511,141</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2,628,190</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2,271,142</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10,356,553</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12,109,128</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3" w:type="dxa"/>
            <w:tcBorders/>
            <w:vAlign w:val="bottom"/>
          </w:tcPr>
          <w:p>
            <w:pPr>
              <w:pStyle w:val="TableContents"/>
              <w:bidi w:val="0"/>
              <w:spacing w:before="0" w:after="283"/>
              <w:jc w:val="left"/>
            </w:pPr>
            <w:r>
              <w:t> </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548,535</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474,398</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fees(2)</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1,174,702</w:t>
            </w:r>
          </w:p>
        </w:tc>
        <w:tc>
          <w:tcPr>
            <w:tcW w:w="146" w:type="dxa"/>
            <w:tcBorders/>
            <w:vAlign w:val="bottom"/>
          </w:tcPr>
          <w:p>
            <w:pPr>
              <w:pStyle w:val="TableContents"/>
              <w:bidi w:val="0"/>
              <w:spacing w:before="0" w:after="283"/>
              <w:jc w:val="left"/>
            </w:pPr>
            <w:r>
              <w:t> </w:t>
            </w:r>
          </w:p>
        </w:tc>
        <w:tc>
          <w:tcPr>
            <w:tcW w:w="3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1,557,355</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1,723,237</w:t>
            </w:r>
          </w:p>
        </w:tc>
        <w:tc>
          <w:tcPr>
            <w:tcW w:w="146" w:type="dxa"/>
            <w:tcBorders/>
            <w:shd w:fill="CCEEFF" w:val="clear"/>
            <w:vAlign w:val="bottom"/>
          </w:tcPr>
          <w:p>
            <w:pPr>
              <w:pStyle w:val="TableContents"/>
              <w:bidi w:val="0"/>
              <w:spacing w:before="0" w:after="283"/>
              <w:jc w:val="left"/>
            </w:pPr>
            <w:r>
              <w:t> </w:t>
            </w:r>
          </w:p>
        </w:tc>
        <w:tc>
          <w:tcPr>
            <w:tcW w:w="31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2,031,753</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pPr>
            <w:r>
              <w:t> </w:t>
            </w:r>
          </w:p>
        </w:tc>
        <w:tc>
          <w:tcPr>
            <w:tcW w:w="3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28,251,402</w:t>
            </w:r>
          </w:p>
        </w:tc>
        <w:tc>
          <w:tcPr>
            <w:tcW w:w="146" w:type="dxa"/>
            <w:tcBorders/>
            <w:vAlign w:val="bottom"/>
          </w:tcPr>
          <w:p>
            <w:pPr>
              <w:pStyle w:val="TableContents"/>
              <w:bidi w:val="0"/>
              <w:spacing w:before="0" w:after="283"/>
              <w:jc w:val="left"/>
            </w:pPr>
            <w:r>
              <w:t> </w:t>
            </w:r>
          </w:p>
        </w:tc>
        <w:tc>
          <w:tcPr>
            <w:tcW w:w="3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29,923,164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nine months ended September 30, 2025, the Company earned approximately $131,000 of PIK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1940 Act requires that a BDC offer significant managerial assistance to its portfolio companies. The Company may receive fee income for managerial assistance it renders to portfolio companies in connection with its investments. For the three and nine months ended September 30, 2026 and 2025, the Company received no fee income for managerial assistance.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13. COMMITMENTS AND CONTINGENCIES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the Company enters into a variety of undertakings containing a variety of warranties and indemnifications that may expose the Company to some risk of loss. The risk of future loss arising from such undertakings, while not quantifiable, is expected to be remote. As of September 30, 2026, the Company did not have any commitments to purchase additional debt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not currently subject to any material legal proceedings. From time to time, the Company may be a party to certain legal proceedings in the ordinary course of business, including proceedings relating to the enforcement of the Company’s rights under contracts with its portfolio companies. While the outcome of these legal proceedings, if any, cannot be predicted with certainty, the Company does not expect that these proceedings will have a material effect upon its results of operations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00"/>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14. FINANCIAL HIGHLIGHTS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Financial highlights for the three and nine months ended September 30, 2026 and 2025, respectively, are as follows:</w:t>
      </w:r>
    </w:p>
    <w:tbl>
      <w:tblPr>
        <w:tblW w:w="10205" w:type="dxa"/>
        <w:jc w:val="left"/>
        <w:tblInd w:w="0" w:type="dxa"/>
        <w:tblLayout w:type="fixed"/>
        <w:tblCellMar>
          <w:top w:w="0" w:type="dxa"/>
          <w:left w:w="0" w:type="dxa"/>
          <w:bottom w:w="0" w:type="dxa"/>
          <w:right w:w="0" w:type="dxa"/>
        </w:tblCellMar>
      </w:tblPr>
      <w:tblGrid>
        <w:gridCol w:w="1808"/>
        <w:gridCol w:w="146"/>
        <w:gridCol w:w="286"/>
        <w:gridCol w:w="1366"/>
        <w:gridCol w:w="346"/>
        <w:gridCol w:w="146"/>
        <w:gridCol w:w="286"/>
        <w:gridCol w:w="1246"/>
        <w:gridCol w:w="351"/>
        <w:gridCol w:w="146"/>
        <w:gridCol w:w="286"/>
        <w:gridCol w:w="1366"/>
        <w:gridCol w:w="351"/>
        <w:gridCol w:w="146"/>
        <w:gridCol w:w="286"/>
        <w:gridCol w:w="1246"/>
        <w:gridCol w:w="397"/>
      </w:tblGrid>
      <w:tr>
        <w:tc>
          <w:tcPr>
            <w:tcW w:w="180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88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pPr>
            <w:r>
              <w:t> </w:t>
            </w:r>
          </w:p>
        </w:tc>
        <w:tc>
          <w:tcPr>
            <w:tcW w:w="20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pPr>
            <w:r>
              <w:t> </w:t>
            </w:r>
          </w:p>
        </w:tc>
        <w:tc>
          <w:tcPr>
            <w:tcW w:w="192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Nine Months</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September 30,</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2025</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Per Share Data</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at beginning of period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income(1)</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0.14</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0.23</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and unrealized losses(2)</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(0.34</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increase/(decrease) in net asset value from operations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Distributions per share from net investment income(3)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return of capital distributions(3)</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pPr>
            <w: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pPr>
            <w: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right"/>
            </w:pPr>
            <w:r>
              <w:t>—</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right"/>
            </w:pPr>
            <w:r>
              <w:t>—</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distributions(3)</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(0.11</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(0.32</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(0.31</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 of shares issued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 value at end of period</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market value at beginning of period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1.76</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2.44</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 share market value at end of period</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return based on market value(4)</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4.94</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(24.74</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(9.99</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(24.97</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return based on net asset value(5)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(0.24</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(1.52</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Shares outstanding at end of period</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120,048,538</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81,669,408</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120,048,538</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81,669,408</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34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3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vAlign w:val="bottom"/>
          </w:tcPr>
          <w:p>
            <w:pPr>
              <w:pStyle w:val="TableContents"/>
              <w:bidi w:val="0"/>
              <w:spacing w:before="0" w:after="283"/>
              <w:jc w:val="left"/>
            </w:pPr>
            <w:r>
              <w:t> </w:t>
            </w:r>
          </w:p>
        </w:tc>
        <w:tc>
          <w:tcPr>
            <w:tcW w:w="35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pPr>
            <w:r>
              <w:t> </w:t>
            </w:r>
          </w:p>
        </w:tc>
        <w:tc>
          <w:tcPr>
            <w:tcW w:w="39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u w:val="single"/>
              </w:rPr>
            </w:pPr>
            <w:r>
              <w:rPr>
                <w:rFonts w:ascii="Times New Roman PS Std;serif" w:hAnsi="Times New Roman PS Std;serif"/>
                <w:b/>
                <w:i w:val="false"/>
                <w:caps w:val="false"/>
                <w:smallCaps w:val="false"/>
                <w:sz w:val="20"/>
                <w:u w:val="single"/>
              </w:rPr>
              <w:t>Ratios/Supplemental Data</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66" w:type="dxa"/>
            <w:tcBorders/>
            <w:shd w:fill="CCEEFF" w:val="clear"/>
            <w:vAlign w:val="bottom"/>
          </w:tcPr>
          <w:p>
            <w:pPr>
              <w:pStyle w:val="TableContents"/>
              <w:bidi w:val="0"/>
              <w:spacing w:before="0" w:after="283"/>
              <w:jc w:val="left"/>
            </w:pPr>
            <w:r>
              <w:t> </w:t>
            </w:r>
          </w:p>
        </w:tc>
        <w:tc>
          <w:tcPr>
            <w:tcW w:w="3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pPr>
            <w:r>
              <w:t> </w:t>
            </w:r>
          </w:p>
        </w:tc>
        <w:tc>
          <w:tcPr>
            <w:tcW w:w="3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assets at end of period (000’s)</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145,379</w:t>
            </w:r>
          </w:p>
        </w:tc>
        <w:tc>
          <w:tcPr>
            <w:tcW w:w="3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158,955</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145,379</w:t>
            </w:r>
          </w:p>
        </w:tc>
        <w:tc>
          <w:tcPr>
            <w:tcW w:w="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158,955</w:t>
            </w:r>
          </w:p>
        </w:tc>
        <w:tc>
          <w:tcPr>
            <w:tcW w:w="3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Average net assets (000’s)</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138,603</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159,073</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133,325</w:t>
            </w:r>
          </w:p>
        </w:tc>
        <w:tc>
          <w:tcPr>
            <w:tcW w:w="3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154,918</w:t>
            </w:r>
          </w:p>
        </w:tc>
        <w:tc>
          <w:tcPr>
            <w:tcW w:w="3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expenses to average net assets(6)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14.41</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14.16</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11.00</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expenses, excluding interest expense, to average net assets(6)</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6.34</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5.34</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Ratio of net investment income to average net assets(6)</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14.18</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13.98</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14.10</w:t>
            </w:r>
          </w:p>
        </w:tc>
        <w:tc>
          <w:tcPr>
            <w:tcW w:w="3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14.76</w:t>
            </w:r>
          </w:p>
        </w:tc>
        <w:tc>
          <w:tcPr>
            <w:tcW w:w="3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180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Portfolio turnover rate(7)</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4.06</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12.70</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4.51</w:t>
            </w:r>
          </w:p>
        </w:tc>
        <w:tc>
          <w:tcPr>
            <w:tcW w:w="35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20.42</w:t>
            </w:r>
          </w:p>
        </w:tc>
        <w:tc>
          <w:tcPr>
            <w:tcW w:w="3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per share net investment income for the period, based upon weighted average shares outstanding.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Net realized and unrealized losses include rounding adjustments to reconcile change in net asset value per share.</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Management monitors available taxable earnings, including net investment income and realized capital gains, to determine if a tax return of capital may occur for the year. To the extent the Company’s taxable earnings fall below the total amount of the Company’s distributions for that fiscal year, a portion of those distributions may be deemed a tax return of capital to the Company’s stockholders. The ultimate tax character of the Company’s earnings cannot be determined until tax returns are prepared after the end of the fiscal year. The amounts and sources of distributions reported are only estimates (based on an average of the reported tax character historically) and are not being provided for U.S. tax reporting purposes. For each of the three-month periods ended September 30, 2026 and 2025, distributions were $0.105 per share and are presented as $0.11 per share due to rounding. For the nine months ended September 30, 2026, distributions were $0.315 per share and are presented as $0.32 per share due to rounding. For the nine months ended September 30, 2025, distributions were $0.315 per share and are presented as $0.31 per share due to rounding.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OXFORD SQUARE CAPITAL CORP.</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NOTES TO FINANCIAL STATEMENTS</w:t>
        <w:br/>
        <w:t>September 30, 2026</w:t>
        <w:br/>
        <w:t>(Unaudited)</w:t>
      </w:r>
    </w:p>
    <w:p>
      <w:pPr>
        <w:pStyle w:val="TextBody"/>
        <w:keepNext w:val="true"/>
        <w:pageBreakBefore w:val="false"/>
        <w:widowControl/>
        <w:pBdr/>
        <w:bidi w:val="0"/>
        <w:spacing w:before="240" w:after="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NOTE 14. FINANCIAL HIGHLIGHTS </w:t>
      </w:r>
      <w:r>
        <w:rPr>
          <w:rFonts w:ascii="Times New Roman PS Std;serif" w:hAnsi="Times New Roman PS Std;serif"/>
          <w:b w:val="false"/>
          <w:i w:val="false"/>
          <w:caps w:val="false"/>
          <w:smallCaps w:val="false"/>
          <w:sz w:val="20"/>
        </w:rPr>
        <w:t>(cont.)</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Total return based on market value equals the increase or decrease of ending market value over beginning market value, plus distributions, divided by the beginning market value, assuming distribution reinvestment prices obtained under the Company’s distribution reinvestment plan. Total return is not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Total return based on net asset value equals the increase or decrease of ending net asset value over beginning net asset value, plus distributions, divided by the beginning net asset value. Total return is not annualized.</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Annualized and adjusted for one-time excise tax reversals.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(7)      Portfolio turnover rate is calculated using the lesser of the investment sales and debt repayments or investment purchases, over the average of the total investments at fair value.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15. SEGMENT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operates as a single operating and reporting segment and its primary business objective is to maximize its investment portfolio’s total return. The chief operating decision maker (“CODM”) is a combination of the Company’s chief executive officer and president. The CODM evaluates performance through the Company’s net asset value, net investment income and net increase/decrease in net assets resulting from operations. These performance measures also aid the CODM in providing information to the Board of Directors for the process of determining the amount of distributions to be distributed to the Company’s stockholders. The Company’s significant segment expenses are listed on the accompanying statements of operations.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NOTE 16. SUBSEQUENT EVENTS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declared the following distributions payable to stockholders as shown below:</w:t>
      </w:r>
    </w:p>
    <w:tbl>
      <w:tblPr>
        <w:tblW w:w="8782" w:type="dxa"/>
        <w:jc w:val="left"/>
        <w:tblInd w:w="0" w:type="dxa"/>
        <w:tblLayout w:type="fixed"/>
        <w:tblCellMar>
          <w:top w:w="0" w:type="dxa"/>
          <w:left w:w="0" w:type="dxa"/>
          <w:bottom w:w="0" w:type="dxa"/>
          <w:right w:w="0" w:type="dxa"/>
        </w:tblCellMar>
      </w:tblPr>
      <w:tblGrid>
        <w:gridCol w:w="1786"/>
        <w:gridCol w:w="146"/>
        <w:gridCol w:w="2026"/>
        <w:gridCol w:w="146"/>
        <w:gridCol w:w="2026"/>
        <w:gridCol w:w="146"/>
        <w:gridCol w:w="2506"/>
      </w:tblGrid>
      <w:tr>
        <w:tc>
          <w:tcPr>
            <w:tcW w:w="17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Dates</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Dates</w:t>
            </w:r>
          </w:p>
        </w:tc>
        <w:tc>
          <w:tcPr>
            <w:tcW w:w="146" w:type="dxa"/>
            <w:tcBorders/>
            <w:vAlign w:val="bottom"/>
          </w:tcPr>
          <w:p>
            <w:pPr>
              <w:pStyle w:val="TableContents"/>
              <w:bidi w:val="0"/>
              <w:spacing w:before="0" w:after="283"/>
              <w:jc w:val="left"/>
            </w:pPr>
            <w:r>
              <w:t> </w:t>
            </w:r>
          </w:p>
        </w:tc>
        <w:tc>
          <w:tcPr>
            <w:tcW w:w="25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 Distribution</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Amount Declared</w:t>
            </w:r>
          </w:p>
        </w:tc>
      </w:tr>
      <w:tr>
        <w:tc>
          <w:tcPr>
            <w:tcW w:w="178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tcPr>
          <w:p>
            <w:pPr>
              <w:pStyle w:val="TableContents"/>
              <w:bidi w:val="0"/>
              <w:spacing w:before="0" w:after="283"/>
              <w:jc w:val="left"/>
            </w:pPr>
            <w: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shd w:fill="CCEEFF" w:val="clear"/>
          </w:tcPr>
          <w:p>
            <w:pPr>
              <w:pStyle w:val="TableContents"/>
              <w:bidi w:val="0"/>
              <w:spacing w:before="0" w:after="283"/>
              <w:jc w:val="left"/>
            </w:pPr>
            <w: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shd w:fill="CCEEFF" w:val="clear"/>
          </w:tcPr>
          <w:p>
            <w:pPr>
              <w:pStyle w:val="TableContents"/>
              <w:bidi w:val="0"/>
              <w:spacing w:before="0" w:after="283"/>
              <w:jc w:val="left"/>
            </w:pPr>
            <w:r>
              <w:t> </w:t>
            </w:r>
          </w:p>
        </w:tc>
        <w:tc>
          <w:tcPr>
            <w:tcW w:w="250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c>
          <w:tcPr>
            <w:tcW w:w="178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tcPr>
          <w:p>
            <w:pPr>
              <w:pStyle w:val="TableContents"/>
              <w:bidi w:val="0"/>
              <w:spacing w:before="0" w:after="283"/>
              <w:jc w:val="left"/>
            </w:pPr>
            <w: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tcPr>
          <w:p>
            <w:pPr>
              <w:pStyle w:val="TableContents"/>
              <w:bidi w:val="0"/>
              <w:spacing w:before="0" w:after="283"/>
              <w:jc w:val="left"/>
            </w:pPr>
            <w: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tcPr>
          <w:p>
            <w:pPr>
              <w:pStyle w:val="TableContents"/>
              <w:bidi w:val="0"/>
              <w:spacing w:before="0" w:after="283"/>
              <w:jc w:val="left"/>
            </w:pPr>
            <w:r>
              <w:t> </w:t>
            </w:r>
          </w:p>
        </w:tc>
        <w:tc>
          <w:tcPr>
            <w:tcW w:w="25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c>
          <w:tcPr>
            <w:tcW w:w="178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tcPr>
          <w:p>
            <w:pPr>
              <w:pStyle w:val="TableContents"/>
              <w:bidi w:val="0"/>
              <w:spacing w:before="0" w:after="283"/>
              <w:jc w:val="left"/>
            </w:pPr>
            <w: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shd w:fill="CCEEFF" w:val="clear"/>
          </w:tcPr>
          <w:p>
            <w:pPr>
              <w:pStyle w:val="TableContents"/>
              <w:bidi w:val="0"/>
              <w:spacing w:before="0" w:after="283"/>
              <w:jc w:val="left"/>
            </w:pPr>
            <w: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tcPr>
          <w:p>
            <w:pPr>
              <w:pStyle w:val="TableContents"/>
              <w:bidi w:val="0"/>
              <w:spacing w:before="0" w:after="283"/>
              <w:jc w:val="left"/>
            </w:pPr>
            <w:r>
              <w:t> </w:t>
            </w:r>
          </w:p>
        </w:tc>
        <w:tc>
          <w:tcPr>
            <w:tcW w:w="250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c>
          <w:tcPr>
            <w:tcW w:w="178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tcPr>
          <w:p>
            <w:pPr>
              <w:pStyle w:val="TableContents"/>
              <w:bidi w:val="0"/>
              <w:spacing w:before="0" w:after="283"/>
              <w:jc w:val="left"/>
            </w:pPr>
            <w: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15, 2027</w:t>
            </w:r>
          </w:p>
        </w:tc>
        <w:tc>
          <w:tcPr>
            <w:tcW w:w="146" w:type="dxa"/>
            <w:tcBorders/>
          </w:tcPr>
          <w:p>
            <w:pPr>
              <w:pStyle w:val="TableContents"/>
              <w:bidi w:val="0"/>
              <w:spacing w:before="0" w:after="283"/>
              <w:jc w:val="left"/>
            </w:pPr>
            <w: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29, 2027</w:t>
            </w:r>
          </w:p>
        </w:tc>
        <w:tc>
          <w:tcPr>
            <w:tcW w:w="146" w:type="dxa"/>
            <w:tcBorders/>
          </w:tcPr>
          <w:p>
            <w:pPr>
              <w:pStyle w:val="TableContents"/>
              <w:bidi w:val="0"/>
              <w:spacing w:before="0" w:after="283"/>
              <w:jc w:val="left"/>
            </w:pPr>
            <w:r>
              <w:t> </w:t>
            </w:r>
          </w:p>
        </w:tc>
        <w:tc>
          <w:tcPr>
            <w:tcW w:w="25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r>
      <w:tr>
        <w:tc>
          <w:tcPr>
            <w:tcW w:w="178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shd w:fill="CCEEFF" w:val="clear"/>
          </w:tcPr>
          <w:p>
            <w:pPr>
              <w:pStyle w:val="TableContents"/>
              <w:bidi w:val="0"/>
              <w:spacing w:before="0" w:after="283"/>
              <w:jc w:val="left"/>
            </w:pPr>
            <w: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12, 2027</w:t>
            </w:r>
          </w:p>
        </w:tc>
        <w:tc>
          <w:tcPr>
            <w:tcW w:w="146" w:type="dxa"/>
            <w:tcBorders/>
            <w:shd w:fill="CCEEFF" w:val="clear"/>
          </w:tcPr>
          <w:p>
            <w:pPr>
              <w:pStyle w:val="TableContents"/>
              <w:bidi w:val="0"/>
              <w:spacing w:before="0" w:after="283"/>
              <w:jc w:val="left"/>
            </w:pPr>
            <w:r>
              <w:t> </w:t>
            </w:r>
          </w:p>
        </w:tc>
        <w:tc>
          <w:tcPr>
            <w:tcW w:w="202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2027</w:t>
            </w:r>
          </w:p>
        </w:tc>
        <w:tc>
          <w:tcPr>
            <w:tcW w:w="146" w:type="dxa"/>
            <w:tcBorders/>
            <w:shd w:fill="CCEEFF" w:val="clear"/>
          </w:tcPr>
          <w:p>
            <w:pPr>
              <w:pStyle w:val="TableContents"/>
              <w:bidi w:val="0"/>
              <w:spacing w:before="0" w:after="283"/>
              <w:jc w:val="left"/>
            </w:pPr>
            <w:r>
              <w:t> </w:t>
            </w:r>
          </w:p>
        </w:tc>
        <w:tc>
          <w:tcPr>
            <w:tcW w:w="250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r>
      <w:tr>
        <w:tc>
          <w:tcPr>
            <w:tcW w:w="178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tcPr>
          <w:p>
            <w:pPr>
              <w:pStyle w:val="TableContents"/>
              <w:bidi w:val="0"/>
              <w:spacing w:before="0" w:after="283"/>
              <w:jc w:val="left"/>
            </w:pPr>
            <w: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2027</w:t>
            </w:r>
          </w:p>
        </w:tc>
        <w:tc>
          <w:tcPr>
            <w:tcW w:w="146" w:type="dxa"/>
            <w:tcBorders/>
          </w:tcPr>
          <w:p>
            <w:pPr>
              <w:pStyle w:val="TableContents"/>
              <w:bidi w:val="0"/>
              <w:spacing w:before="0" w:after="283"/>
              <w:jc w:val="left"/>
            </w:pPr>
            <w:r>
              <w:t> </w:t>
            </w:r>
          </w:p>
        </w:tc>
        <w:tc>
          <w:tcPr>
            <w:tcW w:w="20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2027</w:t>
            </w:r>
          </w:p>
        </w:tc>
        <w:tc>
          <w:tcPr>
            <w:tcW w:w="146" w:type="dxa"/>
            <w:tcBorders/>
          </w:tcPr>
          <w:p>
            <w:pPr>
              <w:pStyle w:val="TableContents"/>
              <w:bidi w:val="0"/>
              <w:spacing w:before="0" w:after="283"/>
              <w:jc w:val="left"/>
            </w:pPr>
            <w:r>
              <w:t> </w:t>
            </w:r>
          </w:p>
        </w:tc>
        <w:tc>
          <w:tcPr>
            <w:tcW w:w="25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14, 2026, the Company redeemed $15.0 million in aggregate principal amount of its 5.50% Unsecured Notes due 2028. The redemption price was equal to 100% of the principal amount redeemed, plus accrued and unpaid interest from July 31, 2026 to, but excluding, October 14, 2026. Following the redemption, $65.5 million in aggregate principal amount of the 5.50% Unsecured Notes remained outstanding.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2026, the Company adopted its Fifth Amended and Restated Bylaws to amend Section 11 to establish minimum ownership and holding-period requirements for stockholders seeking to propose business, other than nominations of individuals for election to the Board of Directors, at an annual meeting of stockholders, as well as stockholders seeking to nominate directors for election at special meetings of stockholders. Under Section 11, as amended, stockholders of record proposing such business must, individually or in the aggregate, have continuously held shares entitled to vote on the proposal having a market value of at least $1,000,000 or representing at least 3% of such shares entitled to vote on the proposal, in either case for at least six months before the date of the annual meeting. Such stockholders must also continuously hold those shares from the date of their notice of the proposed business through the annual meeting, including any adjournment or postponement thereof.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management evaluated subsequent events through the date of issuance of these financial statements and noted no other events that necessitate adjustments to or disclosure in the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960" w:right="0" w:hanging="960"/>
        <w:jc w:val="left"/>
        <w:rPr>
          <w:rFonts w:ascii="Times New Roman PS Std;serif" w:hAnsi="Times New Roman PS Std;serif"/>
          <w:b/>
          <w:i w:val="false"/>
          <w:caps w:val="false"/>
          <w:smallCaps w:val="false"/>
          <w:sz w:val="20"/>
        </w:rPr>
      </w:pPr>
      <w:bookmarkStart w:id="10" w:name="T99510"/>
      <w:bookmarkEnd w:id="10"/>
      <w:r>
        <w:rPr>
          <w:rFonts w:ascii="Times New Roman PS Std;serif" w:hAnsi="Times New Roman PS Std;serif"/>
          <w:b/>
          <w:i w:val="false"/>
          <w:caps w:val="false"/>
          <w:smallCaps w:val="false"/>
          <w:sz w:val="20"/>
        </w:rPr>
        <w:t>ITEM 2.    MANAGEMENT’S DISCUSSION AND ANALYSIS OF FINANCIAL CONDITION AND RESULTS OF OPERATIONS</w:t>
      </w:r>
    </w:p>
    <w:p>
      <w:pPr>
        <w:pStyle w:val="TextBody"/>
        <w:keepNext w:val="true"/>
        <w:pageBreakBefore w:val="false"/>
        <w:widowControl/>
        <w:pBdr/>
        <w:bidi w:val="0"/>
        <w:spacing w:before="240" w:after="283"/>
        <w:ind w:left="9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CAUTIONARY STATEMENT REGARDING 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Quarterly Report on Form 10-Q contains forward-looking statements that involve substantial risks and uncertainties. These forward-looking statements are not historical facts, but rather are based on current expectations, estimates and projections about Oxford Square Capital Corp.,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 The forward-looking statements contained in this Quarterly Report on Form 10-Q involve risks and uncertainties, including statements as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future operating results, including our ability to achieve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business prospects and the prospects of our portfolio companies;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investments that we expect to make;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contractual arrangements and relationships with third parties;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dependence of our future success on the general economy and its impact on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portfolio companies to achieve their objectives;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of our investments in portfolio companies and CLOs, particularly those having no liquid trading market;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and our ability to access alternative debt markets and additional debt and equity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financings and investments;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adequacy of our cash resources and working capital;</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cash flows, if any, from the operations of our portfolio companies and CLO investments;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investment adviser to locate suitable investments for us and monitor and administer our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political and industry trends and other external factors, including government shutdowns and uncertainty surrounding international armed conflicts and war and the financial and political stability of the United States and other countries;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disruptions related to tariffs and other trade or sanctions issues;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interruptions in the supply chain on our portfolio companies, including potential shortages of oil and other energy sources;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contraction of available credit and/or an inability to access the equity markets could impair our lending and investment activities;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interest rate volatility could adversely affect our results, particularly because we use leverage as part of our investment strategy;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inflation and its impact on our investment activities and the industries in which we invest;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currency fluctuations could adversely affect the results of our investments in foreign companies, particularly to the extent that we receive payments denominated in foreign currency rather than U.S. dollars;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information technology system failures, data security breaches, data privacy compliance, network disruptions and cybersecurity attacks;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the risks, uncertainties and other factors we identify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elsewhere in this Quarterly Report on Form 10-Q and in our other filings with the SEC.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and elsewhere in this Quarterly Report on Form 10-Q. You should not place undue reliance on these forward-looking statements, which apply only as of the date of this Quarterly Report on Form 10-Q. Because we are an investment company, the forward-looking statements and projections contained in this quarterly report are excluded from the safe harbor protections provided by Section 21E of the Securities Exchange Act of 1934, as amended (the “Exchange Act”) (the “safe harbor” provision of the Private Securities Litigation Reform Act of 1995).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Except where the context requires otherwise, the terms “OXSQ,” “Company,” “we,” “us” and “our” refer to Oxford Square Capital Corp.; “Oxford Square Management” refers to Oxford Square Management, LLC; and “Oxford Funds” refers to Oxford Funds, LLC.</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analysis of our financial condition and results of operations should be read in conjunction with our financial statements and the related notes thereto contained elsewhere in this Quarterly Report on Form 10-Q.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objective is to maximize our portfolio’s total return. Our primary focus is to seek an attractive risk-adjusted total return by investing primarily in corporate debt securities and, to a lesser extent, in collateralized loan obligations (“CLO”), which are structured finance investments that own corporate debt securities. CLO investments may also include warehouse facilities, which are early-stage CLO vehicles intended to aggregate loans that may be used to form the basis of a traditional CLO vehicle. We operate as a closed-end management investment company and have elected to be regulated as a business development company (“BDC”) under the Investment Company Act of 1940, as amended (the “1940 Act”). We have elected to be treated for tax purposes as a regulated investment company (“RIC”), under Subchapter M of the Internal Revenue Code of 1986, as amended (the “Code”).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investment activities are managed by Oxford Square Management, LLC (“Oxford Square Management”), a registered investment adviser under the Investment Advisers Act of 1940, as amended. Oxford Square Management is owned by Oxford Funds, LLC (“Oxford Funds”), its managing member, and a related party, Charles M. Royce, a member of our Board of Directors (“Board”) who holds a minority, non-controlling interest in Oxford Square Management. Jonathan H. Cohen, our Chief Executive Officer, and Saul B. Rosenthal, our President, are the controlling members of Oxford Funds. Under an investment advisory agreement (the “Investment Advisory Agreement”), we have agreed to pay Oxford Square Management an annual base management fee calculated on gross assets, and an incentive fee based upon our performance. Under an amended and restated administration agreement (the “Administration Agreement”), we have agreed to pay or reimburse Oxford Funds, as administrator, for certain expenses incurred in operating the Company. Our executive officers and directors, and the executive officers of Oxford Square Management and Oxford Funds, serve or may serve as officers and directors of entities that operate in a line of business similar to our own. Accordingly, they may have obligations to investors in those entities, the fulfillment of which might not be in the best interests of us or our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generally expect to invest between $5 million and $25 million in each of our portfolio companies, although this investment size may vary proportionately as the size of our capital base changes and market conditions warrant. We expect that our investment portfolio will be diversified among a large number of investments with few investments, if any, exceeding 5.0% of the total portfolio. As of September 30, 2026, our debt investments (including convertible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notes and excluding non-accrual loans) had stated interest rates of between 6.40% and 17.00% and maturity dates of between 22 and 77 months. In addition, our portfolio had a weighted average annualized yield on debt investments of approximately 14.97% as of September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annualized yield of our debt investments is not the same as a return on investment for our stockholders but, rather, relates to a portion of our investment portfolio and is calculated before the payment of all of our fees and expenses. The weighted average annualized yield was computed using the effective interest rates as of September 30, 2026, including accretion of original issue discount (“OID”) and excluding any debt investments on non-accrual status. There can be no assurance that the weighted average annualized yield will remain at its current level.</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borrowed funds to make investments and may continue to borrow funds to make investments. As a result, we are exposed to the risks of leverage, which may be considered a speculative investment technique. Borrowings, also known as leverage, magnify the potential for gain and loss on amounts invested and therefore increase the risks associated with investing in our securities. In addition, the costs associated with our borrowings, including any increase in the management fees payable to Oxford Square Management, will be borne by our common stockholders.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as a BDC under the 1940 Act, we are required to make available significant managerial assistance, for which we may receive fees, to our portfolio companies. This assistance could involve, among other things, monitoring the operations of our portfolio companies, participating in board and management meetings, consulting with and advising officers of portfolio companies and providing other organizational and financial guidance. These fees would be generally non-recurring, however in some instances they may have a recurring component. We have received no fee income for managerial assistance to date.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possible, we will generally seek to invest in loans that are collateralized by a security interest in the borrower’s assets or guaranteed by a principal to the transaction. Interest payments, if not deferred, are normally payable quarterly with most debt investments having scheduled principal payments on a monthly or quarterly basis. When we receive a warrant to purchase stock in a portfolio company, the warrant will typically have a nominal strike price, and will entitle us to purchase a modest percentage of the borrower’s stock.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September 30, 2026, U.S. loan market performance improved versus the three months ended June 30, 2026. U.S. loan prices, as defined by the Morningstar/LSTA US Leveraged Loan Index, increased from 94.96% of par as of June 30, 2026 to 95.32% of par as of September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2026, the Company’s Board of Directors approved the fair value of the Company’s investment portfolio of approximately $260.1 million in good faith in accordance with the Company’s valuation procedures.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preparation of financial statements and related disclosures in conformity with generally accepted accounting principles in the United States (“GAAP”) requires management to make estimates and assumptions that affect (i) the reported amounts of assets and liabilities, (ii) disclosure of contingent assets and liabilities at the date of the financial statements, and (iii) revenues and expenses during the periods reported. Our critical accounting estimates, including those relating to the valuation of our investment portfolio, are described below. Actual results could materially differ from those estimates. The critical accounting estimates should be read in conjunction with our risk factors as disclosed in </w:t>
      </w:r>
      <w:r>
        <w:rPr>
          <w:rFonts w:ascii="Times New Roman PS Std;serif" w:hAnsi="Times New Roman PS Std;serif"/>
          <w:b w:val="false"/>
          <w:i/>
          <w:caps w:val="false"/>
          <w:smallCaps w:val="false"/>
          <w:sz w:val="20"/>
        </w:rPr>
        <w:t>Item 1A. — Risk Factors</w:t>
      </w:r>
      <w:r>
        <w:rPr>
          <w:rFonts w:ascii="Times New Roman PS Std;serif" w:hAnsi="Times New Roman PS Std;serif"/>
          <w:b w:val="false"/>
          <w:i w:val="false"/>
          <w:caps w:val="false"/>
          <w:smallCaps w:val="false"/>
          <w:sz w:val="20"/>
        </w:rPr>
        <w:t xml:space="preserve"> contained in our Annual Report on Form 10-K for the year ended December 31, 2025. See “Note 3. Summary of Significant Accounting Policies” to our financial statements for the three and nine months ended September 30, 2026 for more information on our critical accounting policies.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Valuation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determines the fair value of our investment portfolio in accordance with the provisions of ASC 820, </w:t>
      </w:r>
      <w:r>
        <w:rPr>
          <w:rFonts w:ascii="Times New Roman PS Std;serif" w:hAnsi="Times New Roman PS Std;serif"/>
          <w:b w:val="false"/>
          <w:i/>
          <w:caps w:val="false"/>
          <w:smallCaps w:val="false"/>
          <w:sz w:val="20"/>
        </w:rPr>
        <w:t>Fair Value Measurement and Disclosure</w:t>
      </w:r>
      <w:r>
        <w:rPr>
          <w:rFonts w:ascii="Times New Roman PS Std;serif" w:hAnsi="Times New Roman PS Std;serif"/>
          <w:b w:val="false"/>
          <w:i w:val="false"/>
          <w:caps w:val="false"/>
          <w:smallCaps w:val="false"/>
          <w:sz w:val="20"/>
        </w:rPr>
        <w:t xml:space="preserve"> (“ASC 820”) and Rule 2a-5 under the 1940 Act. Estimates made in the preparation of our financial statements include the valuation of investments and the related amounts of unrealized appreciation and depreciation of investments recorded. We believe that there is no single definitive method for determining fair value. As a result, determining fair value requires that judgment be applied to the specific facts and circumstances of each portfolio investment while employing a consistently applied valuation process for the types of investments we make.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ASC 820 clarifies the definition of fair value and requires companies to expand their disclosure about the use of fair value to measure assets and liabilities in interim and annual periods subsequent to initial recognition. ASC 820 defines fair value as the price that would be received to sell an asset or paid to transfer a liability in an orderly transaction between market participants at the measurement date. ASC 820 also establishes a three-tier fair value hierarchy, which prioritizes the inputs used in measuring fair value. These tiers include:</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defined as observable inputs such as quoted prices in active markets;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which includes inputs such as quoted prices for similar securities in active markets and quoted prices for identical securities in markets that are not active;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defined as unobservable inputs for which little or no market data exists, therefore requiring an entity to develop its own assumptions.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consider the attributes of current market conditions on an on-going basis and have determined that due to the general illiquidity of the market for our investment portfolio, whereby little or no market data exists, substantially all of our fair valued investments are measured based upon Level 3 inputs as of September 30, 2026 and December 31,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determines the value of our investment portfolio each quarter. In connection with that determination, members of Oxford Square Management’s portfolio management team prepare a quarterly analysis of each portfolio investment using the most recent portfolio company financial statements, forecasts and other relevant financial and operational information. We may elect to value a recently purchased investment at cost. We may also engage a third-party valuation firm to provide assistance in valuing certain of our syndicated loans and bilateral investments, including related equity investments, although our Board of Directors ultimately determines the appropriate valuation of each such investment. Changes in fair value, as described above, are recorded in the statements of operations as net change in unrealized appreciation/depreciation.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corporate loan portfolio investments are valued using several valuation processes. The quantitative inputs and data points that determine which method to utilize to value any given investment include, but are not limited to:</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Bid/offer prices;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Depth, which is defined as the number of securities firms that make a market in a respective corporate syndicated loan and contribute data on the corporate syndicated loan to market data providers;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Liquidity score, which is a metric to help market participants ascertain their ability to exit a position within a given time frame and near a prevailing indicative price, which provides a benchmark of liquidity risk;</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Financial performance of the underlying portfolio company;</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Recent business developments;</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Covenant compliance; and</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Recent transactions.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instances where secondary market data is limited, we may engage a third-party valuation firm to independently determine an estimate of fair value. Currently, we have a single company valued via a third-party valuation firm. This valuation method employs a waterfall method whereby the enterprise value (“EV”) of the company is estimated based on company financial performance inputs, such as EBITDA, and publicly traded comparable company multiples. The EV is then attributed to each debt tranche, preferred equity tranche, and common equity, in order of seniority, to arrive at a valuation for our holdings. Generally speaking, as estimated EV increases, the fair value of our investments will also increase. As market multiples and EBITDA increase, estimated EV will also increase.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valuing our CLO debt and equity investments, we consider the indicative prices provided by a recognized industry pricing service as a primary source, and the implied yield of such prices, supplemented by actual trades executed in the market at or around period-end, as well as the indicative prices provided by brokers who arrange transactions in such investment vehicles. We also consider those instances in which the record date for an equity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distribution payment falls on the last day of the period, and the likelihood that a prospective purchaser would require a downward adjustment to the indicative price representing substantially all of the pending distribution. Additional factors include any available information on other relevant transactions including firm bids and offers in the market and information resulting from bids-wanted-in-competition. In addition, we consider the operating metrics of the specific investment vehicle, including compliance with collateralization tests, defaulted and restructured securities, and payment defaults, if any. We calculate the fair value of certain CLO equity investments based upon the net present value of expected contractual payment streams discounted using estimated market yields for the equity tranche of the respective CLO vehicle. Oxford Square Management or its Valuation Committee may request an additional analysis by a third-party firm to assist in the valuation process of CLO investment vehicles. All information is presented to our Board for its determination of fair value of these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Standards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“Note 3. Summary of Significant Accounting Policies” to our financial statements for a description of recent accounting pronouncements, including the impact on our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COMPOSITION AND INVESTMENT ACTIVITY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fair value of our investment portfolio was approximately $260.1 million and $251.7 million as of September 30, 2026, and December 31, 2025, respectively. The increase in the value of investments during the nine month period ended September 30, 2026, was due primarily to investment acquisitions of approximately $56.5 million, net change in unrealized appreciation of approximately $13.1 million (which incorporates reductions to CLO equity cost value of approximately $8.7 million), accretion of discounts on investments of approximately $3.3 million, and PIK income of approximately $2.6 million, partially offset by net realized losses of approximately $47.2 million and debt repayments of approximately $11.2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reconciliation of the investment portfolio for the nine months ended September 30, 2026 and the year ended December 31, 2025 follows:</w:t>
      </w:r>
    </w:p>
    <w:tbl>
      <w:tblPr>
        <w:tblW w:w="10205" w:type="dxa"/>
        <w:jc w:val="left"/>
        <w:tblInd w:w="0" w:type="dxa"/>
        <w:tblLayout w:type="fixed"/>
        <w:tblCellMar>
          <w:top w:w="0" w:type="dxa"/>
          <w:left w:w="0" w:type="dxa"/>
          <w:bottom w:w="0" w:type="dxa"/>
          <w:right w:w="0" w:type="dxa"/>
        </w:tblCellMar>
      </w:tblPr>
      <w:tblGrid>
        <w:gridCol w:w="6500"/>
        <w:gridCol w:w="146"/>
        <w:gridCol w:w="401"/>
        <w:gridCol w:w="994"/>
        <w:gridCol w:w="340"/>
        <w:gridCol w:w="146"/>
        <w:gridCol w:w="374"/>
        <w:gridCol w:w="926"/>
        <w:gridCol w:w="378"/>
      </w:tblGrid>
      <w:tr>
        <w:tc>
          <w:tcPr>
            <w:tcW w:w="6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73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September 30, </w:t>
              <w:br/>
              <w:t>2026</w:t>
            </w:r>
          </w:p>
        </w:tc>
        <w:tc>
          <w:tcPr>
            <w:tcW w:w="146" w:type="dxa"/>
            <w:tcBorders/>
            <w:vAlign w:val="bottom"/>
          </w:tcPr>
          <w:p>
            <w:pPr>
              <w:pStyle w:val="TableContents"/>
              <w:bidi w:val="0"/>
              <w:spacing w:before="0" w:after="283"/>
              <w:jc w:val="left"/>
            </w:pPr>
            <w:r>
              <w:t> </w:t>
            </w:r>
          </w:p>
        </w:tc>
        <w:tc>
          <w:tcPr>
            <w:tcW w:w="167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2025</w:t>
            </w:r>
          </w:p>
        </w:tc>
      </w:tr>
      <w:tr>
        <w:tc>
          <w:tcPr>
            <w:tcW w:w="6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Beginning investment portfolio</w:t>
            </w:r>
          </w:p>
        </w:tc>
        <w:tc>
          <w:tcPr>
            <w:tcW w:w="146"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260.9</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Portfolio investments acquired</w:t>
            </w:r>
          </w:p>
        </w:tc>
        <w:tc>
          <w:tcPr>
            <w:tcW w:w="146"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Debt repayments</w:t>
            </w:r>
          </w:p>
        </w:tc>
        <w:tc>
          <w:tcPr>
            <w:tcW w:w="146"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securities</w:t>
            </w:r>
          </w:p>
        </w:tc>
        <w:tc>
          <w:tcPr>
            <w:tcW w:w="146"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Reductions to CLO equity cost value(1)</w:t>
            </w:r>
          </w:p>
        </w:tc>
        <w:tc>
          <w:tcPr>
            <w:tcW w:w="146"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Accretion of discounts on investments</w:t>
            </w:r>
          </w:p>
        </w:tc>
        <w:tc>
          <w:tcPr>
            <w:tcW w:w="146"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PIK income</w:t>
            </w:r>
          </w:p>
        </w:tc>
        <w:tc>
          <w:tcPr>
            <w:tcW w:w="146"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3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3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change in unrealized appreciation/(depreciation) on investments</w:t>
            </w:r>
          </w:p>
        </w:tc>
        <w:tc>
          <w:tcPr>
            <w:tcW w:w="146" w:type="dxa"/>
            <w:tcBorders/>
            <w:vAlign w:val="bottom"/>
          </w:tcPr>
          <w:p>
            <w:pPr>
              <w:pStyle w:val="TableContents"/>
              <w:bidi w:val="0"/>
              <w:spacing w:before="0" w:after="283"/>
              <w:jc w:val="left"/>
            </w:pPr>
            <w:r>
              <w:t> </w:t>
            </w:r>
          </w:p>
        </w:tc>
        <w:tc>
          <w:tcPr>
            <w:tcW w:w="4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3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50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realized losses on investments</w:t>
            </w:r>
          </w:p>
        </w:tc>
        <w:tc>
          <w:tcPr>
            <w:tcW w:w="146" w:type="dxa"/>
            <w:tcBorders/>
            <w:shd w:fill="CCEEFF" w:val="clear"/>
            <w:vAlign w:val="bottom"/>
          </w:tcPr>
          <w:p>
            <w:pPr>
              <w:pStyle w:val="TableContents"/>
              <w:bidi w:val="0"/>
              <w:spacing w:before="0" w:after="283"/>
              <w:jc w:val="left"/>
            </w:pPr>
            <w:r>
              <w:t> </w:t>
            </w:r>
          </w:p>
        </w:tc>
        <w:tc>
          <w:tcPr>
            <w:tcW w:w="4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(47.2</w:t>
            </w:r>
          </w:p>
        </w:tc>
        <w:tc>
          <w:tcPr>
            <w:tcW w:w="3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7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(16.8</w:t>
            </w:r>
          </w:p>
        </w:tc>
        <w:tc>
          <w:tcPr>
            <w:tcW w:w="3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50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Ending investment portfolio(2)</w:t>
            </w:r>
          </w:p>
        </w:tc>
        <w:tc>
          <w:tcPr>
            <w:tcW w:w="146" w:type="dxa"/>
            <w:tcBorders/>
            <w:vAlign w:val="bottom"/>
          </w:tcPr>
          <w:p>
            <w:pPr>
              <w:pStyle w:val="TableContents"/>
              <w:bidi w:val="0"/>
              <w:spacing w:before="0" w:after="283"/>
              <w:jc w:val="left"/>
            </w:pPr>
            <w:r>
              <w:t> </w:t>
            </w:r>
          </w:p>
        </w:tc>
        <w:tc>
          <w:tcPr>
            <w:tcW w:w="4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3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37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3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For the nine months ended September 30, 2026, the reductions to CLO equity cost value of approximately $8.7 million represented the distributions received, or entitled to be received, on our investments held in CLO equity subordinated and income notes of approximately $19.0 million, plus the amortization of cost on our CLO fee notes of approximately $129,000, less the effective yield interest income recognized on our CLO equity subordinated and income notes of approximately $10.4 million. For the year ended December 31, 2025, the reductions to CLO equity cost value of approximately $7.7 million represented the distributions received, or entitled to be received, on our investments held in CLO equity subordinated and income notes of approximately $24.1 million, plus the amortization of cost on our CLO fee notes of approximately $57,000, less the effective yield interest income recognized on our CLO equity subordinated and income notes of approximately $16.5 million.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nine months ended September 30, 2026 we purchased approximately $56.5 million in portfolio investments, including additional investments of approximately $16.3 million in existing portfolio companies and approximately $40.2 million in new portfolio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we purchased approximately $92.1 million in portfolio investments, including additional investments of approximately $30.9 million in existing portfolio companies and approximately $61.2 million in new portfolio companies.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certain instances, we receive investment proceeds based on the scheduled amortization of the outstanding loan balances and from the sales of portfolio investments. In addition, we receive repayments of some of our debt investments prior to their scheduled maturity date. The frequency or volume of these repayments may fluctuate significantly from period to period.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2026, we did not sell any portfolio investments. For the year ended December 31, 2025, we recognized proceeds from the sales of securities of approximately $10.7 million. Also, during the nine months ended September 30, 2026 and the year ended December 31, 2025, we had loan principal repayments of approximately $11.2 million and $47.6 million,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2026, we had investments in senior secured debt securities of, or loans to, 20 portfolio companies, with a fair value of approximately $153.4 million, CLO equity investments of approximately $86.4 million, and equity and other investments of approximately $20.3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we had investments in debt securities of, or loans to, 19 portfolio companies, with a fair value of approximately $147.3 million, CLO equity investments of approximately $95.1 million, and equity and other investments of approximately $9.4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indicates the quarterly portfolio investment activity for the past seven quarters:</w:t>
      </w:r>
    </w:p>
    <w:tbl>
      <w:tblPr>
        <w:tblW w:w="10205" w:type="dxa"/>
        <w:jc w:val="left"/>
        <w:tblInd w:w="0" w:type="dxa"/>
        <w:tblLayout w:type="fixed"/>
        <w:tblCellMar>
          <w:top w:w="0" w:type="dxa"/>
          <w:left w:w="0" w:type="dxa"/>
          <w:bottom w:w="0" w:type="dxa"/>
          <w:right w:w="0" w:type="dxa"/>
        </w:tblCellMar>
      </w:tblPr>
      <w:tblGrid>
        <w:gridCol w:w="3304"/>
        <w:gridCol w:w="146"/>
        <w:gridCol w:w="497"/>
        <w:gridCol w:w="1020"/>
        <w:gridCol w:w="146"/>
        <w:gridCol w:w="571"/>
        <w:gridCol w:w="1171"/>
        <w:gridCol w:w="146"/>
        <w:gridCol w:w="472"/>
        <w:gridCol w:w="969"/>
        <w:gridCol w:w="146"/>
        <w:gridCol w:w="578"/>
        <w:gridCol w:w="1039"/>
      </w:tblGrid>
      <w:tr>
        <w:tc>
          <w:tcPr>
            <w:tcW w:w="330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Three Months Ended ($ in millions)</w:t>
            </w:r>
          </w:p>
        </w:tc>
        <w:tc>
          <w:tcPr>
            <w:tcW w:w="146" w:type="dxa"/>
            <w:tcBorders/>
            <w:vAlign w:val="bottom"/>
          </w:tcPr>
          <w:p>
            <w:pPr>
              <w:pStyle w:val="TableContents"/>
              <w:bidi w:val="0"/>
              <w:spacing w:before="0" w:after="283"/>
              <w:jc w:val="left"/>
            </w:pPr>
            <w:r>
              <w:t> </w:t>
            </w:r>
          </w:p>
        </w:tc>
        <w:tc>
          <w:tcPr>
            <w:tcW w:w="15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Purchases of </w:t>
              <w:br/>
              <w:t>Investments</w:t>
            </w:r>
          </w:p>
        </w:tc>
        <w:tc>
          <w:tcPr>
            <w:tcW w:w="146" w:type="dxa"/>
            <w:tcBorders/>
            <w:vAlign w:val="bottom"/>
          </w:tcPr>
          <w:p>
            <w:pPr>
              <w:pStyle w:val="TableContents"/>
              <w:bidi w:val="0"/>
              <w:spacing w:before="0" w:after="283"/>
              <w:jc w:val="left"/>
            </w:pPr>
            <w: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Repayments of </w:t>
              <w:br/>
              <w:t>Principal</w:t>
            </w:r>
          </w:p>
        </w:tc>
        <w:tc>
          <w:tcPr>
            <w:tcW w:w="146" w:type="dxa"/>
            <w:tcBorders/>
            <w:vAlign w:val="bottom"/>
          </w:tcPr>
          <w:p>
            <w:pPr>
              <w:pStyle w:val="TableContents"/>
              <w:bidi w:val="0"/>
              <w:spacing w:before="0" w:after="283"/>
              <w:jc w:val="left"/>
            </w:pPr>
            <w:r>
              <w:t> </w:t>
            </w:r>
          </w:p>
        </w:tc>
        <w:tc>
          <w:tcPr>
            <w:tcW w:w="144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Sales of </w:t>
              <w:br/>
              <w:t>Investments</w:t>
            </w:r>
          </w:p>
        </w:tc>
        <w:tc>
          <w:tcPr>
            <w:tcW w:w="146" w:type="dxa"/>
            <w:tcBorders/>
            <w:vAlign w:val="bottom"/>
          </w:tcPr>
          <w:p>
            <w:pPr>
              <w:pStyle w:val="TableContents"/>
              <w:bidi w:val="0"/>
              <w:spacing w:before="0" w:after="283"/>
              <w:jc w:val="left"/>
            </w:pPr>
            <w:r>
              <w:t> </w:t>
            </w:r>
          </w:p>
        </w:tc>
        <w:tc>
          <w:tcPr>
            <w:tcW w:w="161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Reductions to </w:t>
              <w:br/>
              <w:t xml:space="preserve">CLO Equity </w:t>
              <w:br/>
              <w:t>Cost Value(1)</w:t>
            </w:r>
          </w:p>
        </w:tc>
      </w:tr>
      <w:t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shd w:fill="CCEEFF" w:val="clear"/>
            <w:vAlign w:val="bottom"/>
          </w:tcPr>
          <w:p>
            <w:pPr>
              <w:pStyle w:val="TableContents"/>
              <w:bidi w:val="0"/>
              <w:spacing w:before="0" w:after="283"/>
              <w:jc w:val="left"/>
            </w:pPr>
            <w:r>
              <w:t> </w:t>
            </w:r>
          </w:p>
        </w:tc>
        <w:tc>
          <w:tcPr>
            <w:tcW w:w="4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146" w:type="dxa"/>
            <w:tcBorders/>
            <w:shd w:fill="CCEEFF" w:val="clear"/>
            <w:vAlign w:val="bottom"/>
          </w:tcPr>
          <w:p>
            <w:pPr>
              <w:pStyle w:val="TableContents"/>
              <w:bidi w:val="0"/>
              <w:spacing w:before="0" w:after="283"/>
              <w:jc w:val="left"/>
            </w:pPr>
            <w:r>
              <w:t> </w:t>
            </w:r>
          </w:p>
        </w:tc>
        <w:tc>
          <w:tcPr>
            <w:tcW w:w="5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2026</w:t>
            </w:r>
          </w:p>
        </w:tc>
        <w:tc>
          <w:tcPr>
            <w:tcW w:w="146" w:type="dxa"/>
            <w:tcBorders/>
            <w:vAlign w:val="bottom"/>
          </w:tcPr>
          <w:p>
            <w:pPr>
              <w:pStyle w:val="TableContents"/>
              <w:bidi w:val="0"/>
              <w:spacing w:before="0" w:after="283"/>
              <w:jc w:val="left"/>
            </w:pPr>
            <w:r>
              <w:t> </w:t>
            </w:r>
          </w:p>
        </w:tc>
        <w:tc>
          <w:tcPr>
            <w:tcW w:w="4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146" w:type="dxa"/>
            <w:tcBorders/>
            <w:vAlign w:val="bottom"/>
          </w:tcPr>
          <w:p>
            <w:pPr>
              <w:pStyle w:val="TableContents"/>
              <w:bidi w:val="0"/>
              <w:spacing w:before="0" w:after="283"/>
              <w:jc w:val="left"/>
            </w:pPr>
            <w: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shd w:fill="CCEEFF" w:val="clear"/>
            <w:vAlign w:val="bottom"/>
          </w:tcPr>
          <w:p>
            <w:pPr>
              <w:pStyle w:val="TableContents"/>
              <w:bidi w:val="0"/>
              <w:spacing w:before="0" w:after="283"/>
              <w:jc w:val="left"/>
            </w:pPr>
            <w:r>
              <w:t> </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w:t>
            </w:r>
          </w:p>
        </w:tc>
        <w:tc>
          <w:tcPr>
            <w:tcW w:w="146" w:type="dxa"/>
            <w:tcBorders/>
            <w:shd w:fill="CCEEFF" w:val="clear"/>
            <w:vAlign w:val="bottom"/>
          </w:tcPr>
          <w:p>
            <w:pPr>
              <w:pStyle w:val="TableContents"/>
              <w:bidi w:val="0"/>
              <w:spacing w:before="0" w:after="283"/>
              <w:jc w:val="left"/>
            </w:pPr>
            <w: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r>
      <w:t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2026 to date</w:t>
            </w:r>
          </w:p>
        </w:tc>
        <w:tc>
          <w:tcPr>
            <w:tcW w:w="146" w:type="dxa"/>
            <w:tcBorders/>
            <w:vAlign w:val="bottom"/>
          </w:tcPr>
          <w:p>
            <w:pPr>
              <w:pStyle w:val="TableContents"/>
              <w:bidi w:val="0"/>
              <w:spacing w:before="0" w:after="283"/>
              <w:jc w:val="left"/>
            </w:pPr>
            <w:r>
              <w:t> </w:t>
            </w:r>
          </w:p>
        </w:tc>
        <w:tc>
          <w:tcPr>
            <w:tcW w:w="4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w:t>
            </w:r>
          </w:p>
        </w:tc>
        <w:tc>
          <w:tcPr>
            <w:tcW w:w="146" w:type="dxa"/>
            <w:tcBorders/>
            <w:vAlign w:val="bottom"/>
          </w:tcPr>
          <w:p>
            <w:pPr>
              <w:pStyle w:val="TableContents"/>
              <w:bidi w:val="0"/>
              <w:spacing w:before="0" w:after="283"/>
              <w:jc w:val="left"/>
            </w:pPr>
            <w:r>
              <w:t> </w:t>
            </w:r>
          </w:p>
        </w:tc>
        <w:tc>
          <w:tcPr>
            <w:tcW w:w="5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11.2</w:t>
            </w:r>
          </w:p>
        </w:tc>
        <w:tc>
          <w:tcPr>
            <w:tcW w:w="146" w:type="dxa"/>
            <w:tcBorders/>
            <w:vAlign w:val="bottom"/>
          </w:tcPr>
          <w:p>
            <w:pPr>
              <w:pStyle w:val="TableContents"/>
              <w:bidi w:val="0"/>
              <w:spacing w:before="0" w:after="283"/>
              <w:jc w:val="left"/>
            </w:pPr>
            <w: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r>
      <w:tr>
        <w:tc>
          <w:tcPr>
            <w:tcW w:w="330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9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20"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7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39" w:type="dxa"/>
            <w:tcBorders/>
            <w:shd w:fill="CCEEFF" w:val="clear"/>
            <w:vAlign w:val="bottom"/>
          </w:tcPr>
          <w:p>
            <w:pPr>
              <w:pStyle w:val="TableContents"/>
              <w:bidi w:val="0"/>
              <w:spacing w:before="0" w:after="283"/>
              <w:jc w:val="left"/>
            </w:pPr>
            <w:r>
              <w:t> </w:t>
            </w:r>
          </w:p>
        </w:tc>
      </w:tr>
      <w:t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vAlign w:val="bottom"/>
          </w:tcPr>
          <w:p>
            <w:pPr>
              <w:pStyle w:val="TableContents"/>
              <w:bidi w:val="0"/>
              <w:spacing w:before="0" w:after="283"/>
              <w:jc w:val="left"/>
            </w:pPr>
            <w:r>
              <w:t> </w:t>
            </w:r>
          </w:p>
        </w:tc>
        <w:tc>
          <w:tcPr>
            <w:tcW w:w="4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c>
          <w:tcPr>
            <w:tcW w:w="146" w:type="dxa"/>
            <w:tcBorders/>
            <w:vAlign w:val="bottom"/>
          </w:tcPr>
          <w:p>
            <w:pPr>
              <w:pStyle w:val="TableContents"/>
              <w:bidi w:val="0"/>
              <w:spacing w:before="0" w:after="283"/>
              <w:jc w:val="left"/>
            </w:pPr>
            <w:r>
              <w:t> </w:t>
            </w:r>
          </w:p>
        </w:tc>
        <w:tc>
          <w:tcPr>
            <w:tcW w:w="5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2025</w:t>
            </w:r>
          </w:p>
        </w:tc>
        <w:tc>
          <w:tcPr>
            <w:tcW w:w="146" w:type="dxa"/>
            <w:tcBorders/>
            <w:shd w:fill="CCEEFF" w:val="clear"/>
            <w:vAlign w:val="bottom"/>
          </w:tcPr>
          <w:p>
            <w:pPr>
              <w:pStyle w:val="TableContents"/>
              <w:bidi w:val="0"/>
              <w:spacing w:before="0" w:after="283"/>
              <w:jc w:val="left"/>
            </w:pPr>
            <w:r>
              <w:t> </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w:t>
            </w:r>
          </w:p>
        </w:tc>
        <w:tc>
          <w:tcPr>
            <w:tcW w:w="146" w:type="dxa"/>
            <w:tcBorders/>
            <w:shd w:fill="CCEEFF" w:val="clear"/>
            <w:vAlign w:val="bottom"/>
          </w:tcPr>
          <w:p>
            <w:pPr>
              <w:pStyle w:val="TableContents"/>
              <w:bidi w:val="0"/>
              <w:spacing w:before="0" w:after="283"/>
              <w:jc w:val="left"/>
            </w:pPr>
            <w: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2025</w:t>
            </w:r>
          </w:p>
        </w:tc>
        <w:tc>
          <w:tcPr>
            <w:tcW w:w="146" w:type="dxa"/>
            <w:tcBorders/>
            <w:vAlign w:val="bottom"/>
          </w:tcPr>
          <w:p>
            <w:pPr>
              <w:pStyle w:val="TableContents"/>
              <w:bidi w:val="0"/>
              <w:spacing w:before="0" w:after="283"/>
              <w:jc w:val="left"/>
            </w:pPr>
            <w:r>
              <w:t> </w:t>
            </w:r>
          </w:p>
        </w:tc>
        <w:tc>
          <w:tcPr>
            <w:tcW w:w="49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w:t>
            </w:r>
          </w:p>
        </w:tc>
        <w:tc>
          <w:tcPr>
            <w:tcW w:w="146" w:type="dxa"/>
            <w:tcBorders/>
            <w:vAlign w:val="bottom"/>
          </w:tcPr>
          <w:p>
            <w:pPr>
              <w:pStyle w:val="TableContents"/>
              <w:bidi w:val="0"/>
              <w:spacing w:before="0" w:after="283"/>
              <w:jc w:val="left"/>
            </w:pPr>
            <w:r>
              <w:t> </w:t>
            </w:r>
          </w:p>
        </w:tc>
        <w:tc>
          <w:tcPr>
            <w:tcW w:w="47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c>
          <w:tcPr>
            <w:tcW w:w="330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2025</w:t>
            </w:r>
          </w:p>
        </w:tc>
        <w:tc>
          <w:tcPr>
            <w:tcW w:w="146" w:type="dxa"/>
            <w:tcBorders/>
            <w:shd w:fill="CCEEFF" w:val="clear"/>
            <w:vAlign w:val="bottom"/>
          </w:tcPr>
          <w:p>
            <w:pPr>
              <w:pStyle w:val="TableContents"/>
              <w:bidi w:val="0"/>
              <w:spacing w:before="0" w:after="283"/>
              <w:jc w:val="left"/>
            </w:pPr>
            <w:r>
              <w:t> </w:t>
            </w:r>
          </w:p>
        </w:tc>
        <w:tc>
          <w:tcPr>
            <w:tcW w:w="49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16.0</w:t>
            </w:r>
          </w:p>
        </w:tc>
        <w:tc>
          <w:tcPr>
            <w:tcW w:w="146" w:type="dxa"/>
            <w:tcBorders/>
            <w:shd w:fill="CCEEFF" w:val="clear"/>
            <w:vAlign w:val="bottom"/>
          </w:tcPr>
          <w:p>
            <w:pPr>
              <w:pStyle w:val="TableContents"/>
              <w:bidi w:val="0"/>
              <w:spacing w:before="0" w:after="283"/>
              <w:jc w:val="left"/>
            </w:pPr>
            <w:r>
              <w:t> </w:t>
            </w:r>
          </w:p>
        </w:tc>
        <w:tc>
          <w:tcPr>
            <w:tcW w:w="5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146" w:type="dxa"/>
            <w:tcBorders/>
            <w:shd w:fill="CCEEFF" w:val="clear"/>
            <w:vAlign w:val="bottom"/>
          </w:tcPr>
          <w:p>
            <w:pPr>
              <w:pStyle w:val="TableContents"/>
              <w:bidi w:val="0"/>
              <w:spacing w:before="0" w:after="283"/>
              <w:jc w:val="left"/>
            </w:pPr>
            <w:r>
              <w:t> </w:t>
            </w:r>
          </w:p>
        </w:tc>
        <w:tc>
          <w:tcPr>
            <w:tcW w:w="47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shd w:fill="CCEEFF" w:val="clear"/>
            <w:vAlign w:val="bottom"/>
          </w:tcPr>
          <w:p>
            <w:pPr>
              <w:pStyle w:val="TableContents"/>
              <w:bidi w:val="0"/>
              <w:spacing w:before="0" w:after="283"/>
              <w:jc w:val="left"/>
            </w:pPr>
            <w:r>
              <w:t> </w:t>
            </w:r>
          </w:p>
        </w:tc>
        <w:tc>
          <w:tcPr>
            <w:tcW w:w="5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c>
          <w:tcPr>
            <w:tcW w:w="330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pPr>
            <w:r>
              <w:t> </w:t>
            </w:r>
          </w:p>
        </w:tc>
        <w:tc>
          <w:tcPr>
            <w:tcW w:w="49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92.1</w:t>
            </w:r>
          </w:p>
        </w:tc>
        <w:tc>
          <w:tcPr>
            <w:tcW w:w="146" w:type="dxa"/>
            <w:tcBorders/>
            <w:vAlign w:val="bottom"/>
          </w:tcPr>
          <w:p>
            <w:pPr>
              <w:pStyle w:val="TableContents"/>
              <w:bidi w:val="0"/>
              <w:spacing w:before="0" w:after="283"/>
              <w:jc w:val="left"/>
            </w:pPr>
            <w:r>
              <w:t> </w:t>
            </w:r>
          </w:p>
        </w:tc>
        <w:tc>
          <w:tcPr>
            <w:tcW w:w="5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47.6</w:t>
            </w:r>
          </w:p>
        </w:tc>
        <w:tc>
          <w:tcPr>
            <w:tcW w:w="146" w:type="dxa"/>
            <w:tcBorders/>
            <w:vAlign w:val="bottom"/>
          </w:tcPr>
          <w:p>
            <w:pPr>
              <w:pStyle w:val="TableContents"/>
              <w:bidi w:val="0"/>
              <w:spacing w:before="0" w:after="283"/>
              <w:jc w:val="left"/>
            </w:pPr>
            <w:r>
              <w:t> </w:t>
            </w:r>
          </w:p>
        </w:tc>
        <w:tc>
          <w:tcPr>
            <w:tcW w:w="47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6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w:t>
            </w:r>
          </w:p>
        </w:tc>
        <w:tc>
          <w:tcPr>
            <w:tcW w:w="146" w:type="dxa"/>
            <w:tcBorders/>
            <w:vAlign w:val="bottom"/>
          </w:tcPr>
          <w:p>
            <w:pPr>
              <w:pStyle w:val="TableContents"/>
              <w:bidi w:val="0"/>
              <w:spacing w:before="0" w:after="283"/>
              <w:jc w:val="left"/>
            </w:pPr>
            <w:r>
              <w:t> </w:t>
            </w:r>
          </w:p>
        </w:tc>
        <w:tc>
          <w:tcPr>
            <w:tcW w:w="5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Reductions to CLO equity cost value represent the distributions received, or entitled to be received, on our investments held in CLO equity subordinated and income notes, plus the amortization of cost of our CLO fee notes, less the effective yield interest income recognized on our CLO equity subordinated and income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fair value of our portfolio of investments by asset class as of September 30, 2026 and December 31, 2025:</w:t>
      </w:r>
    </w:p>
    <w:tbl>
      <w:tblPr>
        <w:tblW w:w="10205" w:type="dxa"/>
        <w:jc w:val="left"/>
        <w:tblInd w:w="0" w:type="dxa"/>
        <w:tblLayout w:type="fixed"/>
        <w:tblCellMar>
          <w:top w:w="0" w:type="dxa"/>
          <w:left w:w="0" w:type="dxa"/>
          <w:bottom w:w="0" w:type="dxa"/>
          <w:right w:w="0" w:type="dxa"/>
        </w:tblCellMar>
      </w:tblPr>
      <w:tblGrid>
        <w:gridCol w:w="2854"/>
        <w:gridCol w:w="146"/>
        <w:gridCol w:w="501"/>
        <w:gridCol w:w="1238"/>
        <w:gridCol w:w="147"/>
        <w:gridCol w:w="1087"/>
        <w:gridCol w:w="533"/>
        <w:gridCol w:w="146"/>
        <w:gridCol w:w="501"/>
        <w:gridCol w:w="1238"/>
        <w:gridCol w:w="146"/>
        <w:gridCol w:w="1071"/>
        <w:gridCol w:w="597"/>
      </w:tblGrid>
      <w:tr>
        <w:tc>
          <w:tcPr>
            <w:tcW w:w="2854"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vMerge w:val="restart"/>
            <w:tcBorders/>
            <w:vAlign w:val="bottom"/>
          </w:tcPr>
          <w:p>
            <w:pPr>
              <w:pStyle w:val="TableContents"/>
              <w:bidi w:val="0"/>
              <w:spacing w:before="0" w:after="283"/>
              <w:jc w:val="left"/>
            </w:pPr>
            <w:r>
              <w:t> </w:t>
            </w:r>
          </w:p>
        </w:tc>
        <w:tc>
          <w:tcPr>
            <w:tcW w:w="3506"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 2026</w:t>
            </w:r>
          </w:p>
        </w:tc>
        <w:tc>
          <w:tcPr>
            <w:tcW w:w="146" w:type="dxa"/>
            <w:tcBorders/>
            <w:vAlign w:val="bottom"/>
          </w:tcPr>
          <w:p>
            <w:pPr>
              <w:pStyle w:val="TableContents"/>
              <w:bidi w:val="0"/>
              <w:spacing w:before="0" w:after="283"/>
              <w:jc w:val="left"/>
            </w:pPr>
            <w:r>
              <w:t> </w:t>
            </w:r>
          </w:p>
        </w:tc>
        <w:tc>
          <w:tcPr>
            <w:tcW w:w="355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c>
          <w:tcPr>
            <w:tcW w:w="2854"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7" w:type="dxa"/>
            <w:tcBorders/>
            <w:vAlign w:val="bottom"/>
          </w:tcPr>
          <w:p>
            <w:pPr>
              <w:pStyle w:val="TableContents"/>
              <w:bidi w:val="0"/>
              <w:spacing w:before="0" w:after="283"/>
              <w:jc w:val="left"/>
            </w:pPr>
            <w:r>
              <w:t> </w:t>
            </w:r>
          </w:p>
        </w:tc>
        <w:tc>
          <w:tcPr>
            <w:tcW w:w="16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c>
          <w:tcPr>
            <w:tcW w:w="146" w:type="dxa"/>
            <w:tcBorders/>
            <w:vAlign w:val="bottom"/>
          </w:tcPr>
          <w:p>
            <w:pPr>
              <w:pStyle w:val="TableContents"/>
              <w:bidi w:val="0"/>
              <w:spacing w:before="0" w:after="283"/>
              <w:jc w:val="left"/>
            </w:pPr>
            <w:r>
              <w:t> </w:t>
            </w:r>
          </w:p>
        </w:tc>
        <w:tc>
          <w:tcPr>
            <w:tcW w:w="1739"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pPr>
            <w:r>
              <w:t> </w:t>
            </w:r>
          </w:p>
        </w:tc>
        <w:tc>
          <w:tcPr>
            <w:tcW w:w="1668"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Total Portfolio</w:t>
            </w:r>
          </w:p>
        </w:tc>
      </w:tr>
      <w:tr>
        <w:tc>
          <w:tcPr>
            <w:tcW w:w="28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Senior Secured Notes</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147" w:type="dxa"/>
            <w:tcBorders/>
            <w:shd w:fill="CCEEFF" w:val="clear"/>
            <w:vAlign w:val="bottom"/>
          </w:tcPr>
          <w:p>
            <w:pPr>
              <w:pStyle w:val="TableContents"/>
              <w:bidi w:val="0"/>
              <w:spacing w:before="0" w:after="283"/>
              <w:jc w:val="left"/>
            </w:pPr>
            <w: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59.0</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shd w:fill="CCEEFF" w:val="clear"/>
            <w:vAlign w:val="bottom"/>
          </w:tcPr>
          <w:p>
            <w:pPr>
              <w:pStyle w:val="TableContents"/>
              <w:bidi w:val="0"/>
              <w:spacing w:before="0" w:after="283"/>
              <w:jc w:val="left"/>
            </w:pPr>
            <w: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58.5</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 Equity</w:t>
            </w:r>
          </w:p>
        </w:tc>
        <w:tc>
          <w:tcPr>
            <w:tcW w:w="14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147" w:type="dxa"/>
            <w:tcBorders/>
            <w:vAlign w:val="bottom"/>
          </w:tcPr>
          <w:p>
            <w:pPr>
              <w:pStyle w:val="TableContents"/>
              <w:bidi w:val="0"/>
              <w:spacing w:before="0" w:after="283"/>
              <w:jc w:val="left"/>
            </w:pPr>
            <w:r>
              <w:t> </w:t>
            </w:r>
          </w:p>
        </w:tc>
        <w:tc>
          <w:tcPr>
            <w:tcW w:w="108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vAlign w:val="bottom"/>
          </w:tcPr>
          <w:p>
            <w:pPr>
              <w:pStyle w:val="TableContents"/>
              <w:bidi w:val="0"/>
              <w:spacing w:before="0" w:after="283"/>
              <w:jc w:val="left"/>
            </w:pPr>
            <w:r>
              <w:t> </w:t>
            </w:r>
          </w:p>
        </w:tc>
        <w:tc>
          <w:tcPr>
            <w:tcW w:w="10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37.8</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5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and Other Investments</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w:t>
            </w:r>
          </w:p>
        </w:tc>
        <w:tc>
          <w:tcPr>
            <w:tcW w:w="147" w:type="dxa"/>
            <w:tcBorders/>
            <w:shd w:fill="CCEEFF" w:val="clear"/>
            <w:vAlign w:val="bottom"/>
          </w:tcPr>
          <w:p>
            <w:pPr>
              <w:pStyle w:val="TableContents"/>
              <w:bidi w:val="0"/>
              <w:spacing w:before="0" w:after="283"/>
              <w:jc w:val="left"/>
            </w:pPr>
            <w:r>
              <w:t> </w:t>
            </w:r>
          </w:p>
        </w:tc>
        <w:tc>
          <w:tcPr>
            <w:tcW w:w="108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w:t>
            </w:r>
          </w:p>
        </w:tc>
        <w:tc>
          <w:tcPr>
            <w:tcW w:w="53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3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146" w:type="dxa"/>
            <w:tcBorders/>
            <w:shd w:fill="CCEEFF" w:val="clear"/>
            <w:vAlign w:val="bottom"/>
          </w:tcPr>
          <w:p>
            <w:pPr>
              <w:pStyle w:val="TableContents"/>
              <w:bidi w:val="0"/>
              <w:spacing w:before="0" w:after="283"/>
              <w:jc w:val="left"/>
            </w:pPr>
            <w:r>
              <w:t> </w:t>
            </w:r>
          </w:p>
        </w:tc>
        <w:tc>
          <w:tcPr>
            <w:tcW w:w="10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9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Total(1)</w:t>
            </w:r>
          </w:p>
        </w:tc>
        <w:tc>
          <w:tcPr>
            <w:tcW w:w="146" w:type="dxa"/>
            <w:tcBorders/>
            <w:vAlign w:val="bottom"/>
          </w:tcPr>
          <w:p>
            <w:pPr>
              <w:pStyle w:val="TableContents"/>
              <w:bidi w:val="0"/>
              <w:spacing w:before="0" w:after="283"/>
              <w:jc w:val="left"/>
            </w:pPr>
            <w: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7" w:type="dxa"/>
            <w:tcBorders/>
            <w:vAlign w:val="bottom"/>
          </w:tcPr>
          <w:p>
            <w:pPr>
              <w:pStyle w:val="TableContents"/>
              <w:bidi w:val="0"/>
              <w:spacing w:before="0" w:after="283"/>
              <w:jc w:val="left"/>
            </w:pPr>
            <w:r>
              <w:t> </w:t>
            </w:r>
          </w:p>
        </w:tc>
        <w:tc>
          <w:tcPr>
            <w:tcW w:w="108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3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pPr>
            <w:r>
              <w:t> </w:t>
            </w:r>
          </w:p>
        </w:tc>
        <w:tc>
          <w:tcPr>
            <w:tcW w:w="10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9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Totals may not sum due to rounding.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Qualifying assets must represent at least 70.0% of the Company’s total assets at the time of acquisition of any additional non-qualifying assets. As of September 30, 2026 and December 31, 2025, we held qualifying assets that represented 71.7% and 68.8%, respectively, of the total assets. No additional non-qualifying assets were acquired during the periods when qualifying assets were less than 70.0% of the total assets.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our portfolio of investments by industry at fair value, as of September 30, 2026 and December 31, 2025:</w:t>
      </w:r>
    </w:p>
    <w:tbl>
      <w:tblPr>
        <w:tblW w:w="10205" w:type="dxa"/>
        <w:jc w:val="left"/>
        <w:tblInd w:w="0" w:type="dxa"/>
        <w:tblLayout w:type="fixed"/>
        <w:tblCellMar>
          <w:top w:w="0" w:type="dxa"/>
          <w:left w:w="0" w:type="dxa"/>
          <w:bottom w:w="0" w:type="dxa"/>
          <w:right w:w="0" w:type="dxa"/>
        </w:tblCellMar>
      </w:tblPr>
      <w:tblGrid>
        <w:gridCol w:w="2838"/>
        <w:gridCol w:w="146"/>
        <w:gridCol w:w="502"/>
        <w:gridCol w:w="1240"/>
        <w:gridCol w:w="147"/>
        <w:gridCol w:w="1089"/>
        <w:gridCol w:w="534"/>
        <w:gridCol w:w="146"/>
        <w:gridCol w:w="502"/>
        <w:gridCol w:w="1240"/>
        <w:gridCol w:w="146"/>
        <w:gridCol w:w="1073"/>
        <w:gridCol w:w="602"/>
      </w:tblGrid>
      <w:tr>
        <w:tc>
          <w:tcPr>
            <w:tcW w:w="28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3512"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 2026</w:t>
            </w:r>
          </w:p>
        </w:tc>
        <w:tc>
          <w:tcPr>
            <w:tcW w:w="146" w:type="dxa"/>
            <w:tcBorders/>
            <w:vAlign w:val="bottom"/>
          </w:tcPr>
          <w:p>
            <w:pPr>
              <w:pStyle w:val="TableContents"/>
              <w:bidi w:val="0"/>
              <w:spacing w:before="0" w:after="283"/>
              <w:jc w:val="left"/>
            </w:pPr>
            <w:r>
              <w:t> </w:t>
            </w:r>
          </w:p>
        </w:tc>
        <w:tc>
          <w:tcPr>
            <w:tcW w:w="3563"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c>
          <w:tcPr>
            <w:tcW w:w="283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7" w:type="dxa"/>
            <w:tcBorders/>
            <w:vAlign w:val="bottom"/>
          </w:tcPr>
          <w:p>
            <w:pPr>
              <w:pStyle w:val="TableContents"/>
              <w:bidi w:val="0"/>
              <w:spacing w:before="0" w:after="283"/>
              <w:jc w:val="left"/>
            </w:pPr>
            <w:r>
              <w:t> </w:t>
            </w:r>
          </w:p>
        </w:tc>
        <w:tc>
          <w:tcPr>
            <w:tcW w:w="162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Fair Value</w:t>
            </w:r>
          </w:p>
        </w:tc>
        <w:tc>
          <w:tcPr>
            <w:tcW w:w="146" w:type="dxa"/>
            <w:tcBorders/>
            <w:vAlign w:val="bottom"/>
          </w:tcPr>
          <w:p>
            <w:pPr>
              <w:pStyle w:val="TableContents"/>
              <w:bidi w:val="0"/>
              <w:spacing w:before="0" w:after="283"/>
              <w:jc w:val="left"/>
            </w:pPr>
            <w: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Investments at </w:t>
              <w:br/>
              <w:t>Fair Value</w:t>
            </w:r>
          </w:p>
        </w:tc>
        <w:tc>
          <w:tcPr>
            <w:tcW w:w="146" w:type="dxa"/>
            <w:tcBorders/>
            <w:vAlign w:val="bottom"/>
          </w:tcPr>
          <w:p>
            <w:pPr>
              <w:pStyle w:val="TableContents"/>
              <w:bidi w:val="0"/>
              <w:spacing w:before="0" w:after="283"/>
              <w:jc w:val="left"/>
            </w:pPr>
            <w:r>
              <w:t> </w:t>
            </w:r>
          </w:p>
        </w:tc>
        <w:tc>
          <w:tcPr>
            <w:tcW w:w="16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of </w:t>
              <w:br/>
              <w:t>Fair Value</w:t>
            </w:r>
          </w:p>
        </w:tc>
      </w:tr>
      <w:tr>
        <w:tc>
          <w:tcPr>
            <w:tcW w:w="283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7" w:type="dxa"/>
            <w:tcBorders/>
            <w:vAlign w:val="bottom"/>
          </w:tcPr>
          <w:p>
            <w:pPr>
              <w:pStyle w:val="TableContents"/>
              <w:bidi w:val="0"/>
              <w:spacing w:before="0" w:after="283"/>
              <w:jc w:val="left"/>
            </w:pPr>
            <w:r>
              <w:t> </w:t>
            </w:r>
          </w:p>
        </w:tc>
        <w:tc>
          <w:tcPr>
            <w:tcW w:w="1623" w:type="dxa"/>
            <w:gridSpan w:val="2"/>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7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1675" w:type="dxa"/>
            <w:gridSpan w:val="2"/>
            <w:tcBorders/>
            <w:vAlign w:val="bottom"/>
          </w:tcPr>
          <w:p>
            <w:pPr>
              <w:pStyle w:val="TableContents"/>
              <w:bidi w:val="0"/>
              <w:spacing w:before="0" w:after="283"/>
              <w:jc w:val="left"/>
            </w:pPr>
            <w:r>
              <w:t> </w:t>
            </w:r>
          </w:p>
        </w:tc>
      </w:tr>
      <w:t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Structured finance(1)</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86.4</w:t>
            </w:r>
          </w:p>
        </w:tc>
        <w:tc>
          <w:tcPr>
            <w:tcW w:w="147"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95.1</w:t>
            </w:r>
          </w:p>
        </w:tc>
        <w:tc>
          <w:tcPr>
            <w:tcW w:w="146" w:type="dxa"/>
            <w:tcBorders/>
            <w:shd w:fill="CCEEFF" w:val="clear"/>
            <w:vAlign w:val="bottom"/>
          </w:tcPr>
          <w:p>
            <w:pPr>
              <w:pStyle w:val="TableContents"/>
              <w:bidi w:val="0"/>
              <w:spacing w:before="0" w:after="283"/>
              <w:jc w:val="left"/>
            </w:pPr>
            <w: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Software</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38.9</w:t>
            </w:r>
          </w:p>
        </w:tc>
        <w:tc>
          <w:tcPr>
            <w:tcW w:w="147" w:type="dxa"/>
            <w:tcBorders/>
            <w:vAlign w:val="bottom"/>
          </w:tcPr>
          <w:p>
            <w:pPr>
              <w:pStyle w:val="TableContents"/>
              <w:bidi w:val="0"/>
              <w:spacing w:before="0" w:after="283"/>
              <w:jc w:val="left"/>
            </w:pPr>
            <w: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43.7</w:t>
            </w:r>
          </w:p>
        </w:tc>
        <w:tc>
          <w:tcPr>
            <w:tcW w:w="146" w:type="dxa"/>
            <w:tcBorders/>
            <w:vAlign w:val="bottom"/>
          </w:tcPr>
          <w:p>
            <w:pPr>
              <w:pStyle w:val="TableContents"/>
              <w:bidi w:val="0"/>
              <w:spacing w:before="0" w:after="283"/>
              <w:jc w:val="left"/>
            </w:pPr>
            <w: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17.4</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Business services</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w:t>
            </w:r>
          </w:p>
        </w:tc>
        <w:tc>
          <w:tcPr>
            <w:tcW w:w="147"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shd w:fill="CCEEFF" w:val="clear"/>
            <w:vAlign w:val="bottom"/>
          </w:tcPr>
          <w:p>
            <w:pPr>
              <w:pStyle w:val="TableContents"/>
              <w:bidi w:val="0"/>
              <w:spacing w:before="0" w:after="283"/>
              <w:jc w:val="left"/>
            </w:pPr>
            <w: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Industrials</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w:t>
            </w:r>
          </w:p>
        </w:tc>
        <w:tc>
          <w:tcPr>
            <w:tcW w:w="147" w:type="dxa"/>
            <w:tcBorders/>
            <w:vAlign w:val="bottom"/>
          </w:tcPr>
          <w:p>
            <w:pPr>
              <w:pStyle w:val="TableContents"/>
              <w:bidi w:val="0"/>
              <w:spacing w:before="0" w:after="283"/>
              <w:jc w:val="left"/>
            </w:pPr>
            <w: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c>
          <w:tcPr>
            <w:tcW w:w="146" w:type="dxa"/>
            <w:tcBorders/>
            <w:vAlign w:val="bottom"/>
          </w:tcPr>
          <w:p>
            <w:pPr>
              <w:pStyle w:val="TableContents"/>
              <w:bidi w:val="0"/>
              <w:spacing w:before="0" w:after="283"/>
              <w:jc w:val="left"/>
            </w:pPr>
            <w: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Healthcare</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w:t>
            </w:r>
          </w:p>
        </w:tc>
        <w:tc>
          <w:tcPr>
            <w:tcW w:w="147"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22.1</w:t>
            </w:r>
          </w:p>
        </w:tc>
        <w:tc>
          <w:tcPr>
            <w:tcW w:w="146" w:type="dxa"/>
            <w:tcBorders/>
            <w:shd w:fill="CCEEFF" w:val="clear"/>
            <w:vAlign w:val="bottom"/>
          </w:tcPr>
          <w:p>
            <w:pPr>
              <w:pStyle w:val="TableContents"/>
              <w:bidi w:val="0"/>
              <w:spacing w:before="0" w:after="283"/>
              <w:jc w:val="left"/>
            </w:pPr>
            <w: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Artificial intelligence</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147" w:type="dxa"/>
            <w:tcBorders/>
            <w:vAlign w:val="bottom"/>
          </w:tcPr>
          <w:p>
            <w:pPr>
              <w:pStyle w:val="TableContents"/>
              <w:bidi w:val="0"/>
              <w:spacing w:before="0" w:after="283"/>
              <w:jc w:val="left"/>
            </w:pPr>
            <w: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vAlign w:val="bottom"/>
          </w:tcPr>
          <w:p>
            <w:pPr>
              <w:pStyle w:val="TableContents"/>
              <w:bidi w:val="0"/>
              <w:spacing w:before="0" w:after="283"/>
              <w:jc w:val="left"/>
            </w:pPr>
            <w: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Telecommunication services</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w:t>
            </w:r>
          </w:p>
        </w:tc>
        <w:tc>
          <w:tcPr>
            <w:tcW w:w="147"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11.0</w:t>
            </w:r>
          </w:p>
        </w:tc>
        <w:tc>
          <w:tcPr>
            <w:tcW w:w="146" w:type="dxa"/>
            <w:tcBorders/>
            <w:shd w:fill="CCEEFF" w:val="clear"/>
            <w:vAlign w:val="bottom"/>
          </w:tcPr>
          <w:p>
            <w:pPr>
              <w:pStyle w:val="TableContents"/>
              <w:bidi w:val="0"/>
              <w:spacing w:before="0" w:after="283"/>
              <w:jc w:val="left"/>
            </w:pPr>
            <w: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Aerospace and defense</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47" w:type="dxa"/>
            <w:tcBorders/>
            <w:vAlign w:val="bottom"/>
          </w:tcPr>
          <w:p>
            <w:pPr>
              <w:pStyle w:val="TableContents"/>
              <w:bidi w:val="0"/>
              <w:spacing w:before="0" w:after="283"/>
              <w:jc w:val="left"/>
            </w:pPr>
            <w: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107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Materials</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7"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w:t>
            </w:r>
          </w:p>
        </w:tc>
        <w:tc>
          <w:tcPr>
            <w:tcW w:w="146" w:type="dxa"/>
            <w:tcBorders/>
            <w:shd w:fill="CCEEFF" w:val="clear"/>
            <w:vAlign w:val="bottom"/>
          </w:tcPr>
          <w:p>
            <w:pPr>
              <w:pStyle w:val="TableContents"/>
              <w:bidi w:val="0"/>
              <w:spacing w:before="0" w:after="283"/>
              <w:jc w:val="left"/>
            </w:pPr>
            <w: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Food and beverage</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w:t>
            </w:r>
          </w:p>
        </w:tc>
        <w:tc>
          <w:tcPr>
            <w:tcW w:w="147" w:type="dxa"/>
            <w:tcBorders/>
            <w:vAlign w:val="bottom"/>
          </w:tcPr>
          <w:p>
            <w:pPr>
              <w:pStyle w:val="TableContents"/>
              <w:bidi w:val="0"/>
              <w:spacing w:before="0" w:after="283"/>
              <w:jc w:val="left"/>
            </w:pPr>
            <w:r>
              <w:t> </w:t>
            </w:r>
          </w:p>
        </w:tc>
        <w:tc>
          <w:tcPr>
            <w:tcW w:w="108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w:t>
            </w:r>
          </w:p>
        </w:tc>
        <w:tc>
          <w:tcPr>
            <w:tcW w:w="146" w:type="dxa"/>
            <w:tcBorders/>
            <w:vAlign w:val="bottom"/>
          </w:tcPr>
          <w:p>
            <w:pPr>
              <w:pStyle w:val="TableContents"/>
              <w:bidi w:val="0"/>
              <w:spacing w:before="0" w:after="283"/>
              <w:jc w:val="left"/>
            </w:pPr>
            <w:r>
              <w:t> </w:t>
            </w:r>
          </w:p>
        </w:tc>
        <w:tc>
          <w:tcPr>
            <w:tcW w:w="107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consulting</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7" w:type="dxa"/>
            <w:tcBorders/>
            <w:shd w:fill="CCEEFF" w:val="clear"/>
            <w:vAlign w:val="bottom"/>
          </w:tcPr>
          <w:p>
            <w:pPr>
              <w:pStyle w:val="TableContents"/>
              <w:bidi w:val="0"/>
              <w:spacing w:before="0" w:after="283"/>
              <w:jc w:val="left"/>
            </w:pPr>
            <w:r>
              <w:t> </w:t>
            </w:r>
          </w:p>
        </w:tc>
        <w:tc>
          <w:tcPr>
            <w:tcW w:w="108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w:t>
            </w:r>
          </w:p>
        </w:tc>
        <w:tc>
          <w:tcPr>
            <w:tcW w:w="53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5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146" w:type="dxa"/>
            <w:tcBorders/>
            <w:shd w:fill="CCEEFF" w:val="clear"/>
            <w:vAlign w:val="bottom"/>
          </w:tcPr>
          <w:p>
            <w:pPr>
              <w:pStyle w:val="TableContents"/>
              <w:bidi w:val="0"/>
              <w:spacing w:before="0" w:after="283"/>
              <w:jc w:val="left"/>
            </w:pPr>
            <w:r>
              <w:t> </w:t>
            </w:r>
          </w:p>
        </w:tc>
        <w:tc>
          <w:tcPr>
            <w:tcW w:w="107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60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2838"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Total(2)</w:t>
            </w:r>
          </w:p>
        </w:tc>
        <w:tc>
          <w:tcPr>
            <w:tcW w:w="146" w:type="dxa"/>
            <w:tcBorders/>
            <w:vAlign w:val="bottom"/>
          </w:tcPr>
          <w:p>
            <w:pPr>
              <w:pStyle w:val="TableContents"/>
              <w:bidi w:val="0"/>
              <w:spacing w:before="0" w:after="283"/>
              <w:jc w:val="left"/>
            </w:pPr>
            <w: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260.1</w:t>
            </w:r>
          </w:p>
        </w:tc>
        <w:tc>
          <w:tcPr>
            <w:tcW w:w="147" w:type="dxa"/>
            <w:tcBorders/>
            <w:vAlign w:val="bottom"/>
          </w:tcPr>
          <w:p>
            <w:pPr>
              <w:pStyle w:val="TableContents"/>
              <w:bidi w:val="0"/>
              <w:spacing w:before="0" w:after="283"/>
              <w:jc w:val="left"/>
            </w:pPr>
            <w:r>
              <w:t> </w:t>
            </w:r>
          </w:p>
        </w:tc>
        <w:tc>
          <w:tcPr>
            <w:tcW w:w="108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3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50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251.7</w:t>
            </w:r>
          </w:p>
        </w:tc>
        <w:tc>
          <w:tcPr>
            <w:tcW w:w="146" w:type="dxa"/>
            <w:tcBorders/>
            <w:vAlign w:val="bottom"/>
          </w:tcPr>
          <w:p>
            <w:pPr>
              <w:pStyle w:val="TableContents"/>
              <w:bidi w:val="0"/>
              <w:spacing w:before="0" w:after="283"/>
              <w:jc w:val="left"/>
            </w:pPr>
            <w:r>
              <w:t> </w:t>
            </w:r>
          </w:p>
        </w:tc>
        <w:tc>
          <w:tcPr>
            <w:tcW w:w="107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6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Reflects our equity investments in CLOs as of September 30, 2026, and December 31, 2025, respectively.</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PORTFOLIO GRADING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credit grading system to monitor the quality of our debt investment portfolio. As of September 30, 2026 and December 31, 2025, our portfolio had a weighted average grade of 2.2 and 2.2, respectively, based upon the fair value of the debt investments in the portfolio. Equity securities, convertible debt, and investments in CLOs are not graded.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2026 and December 31, 2025, our debt investment portfolio was graded as follows:</w:t>
      </w:r>
    </w:p>
    <w:tbl>
      <w:tblPr>
        <w:tblW w:w="10205" w:type="dxa"/>
        <w:jc w:val="left"/>
        <w:tblInd w:w="0" w:type="dxa"/>
        <w:tblLayout w:type="fixed"/>
        <w:tblCellMar>
          <w:top w:w="0" w:type="dxa"/>
          <w:left w:w="0" w:type="dxa"/>
          <w:bottom w:w="0" w:type="dxa"/>
          <w:right w:w="0" w:type="dxa"/>
        </w:tblCellMar>
      </w:tblPr>
      <w:tblGrid>
        <w:gridCol w:w="796"/>
        <w:gridCol w:w="146"/>
        <w:gridCol w:w="3801"/>
        <w:gridCol w:w="146"/>
        <w:gridCol w:w="308"/>
        <w:gridCol w:w="763"/>
        <w:gridCol w:w="146"/>
        <w:gridCol w:w="900"/>
        <w:gridCol w:w="442"/>
        <w:gridCol w:w="146"/>
        <w:gridCol w:w="308"/>
        <w:gridCol w:w="765"/>
        <w:gridCol w:w="146"/>
        <w:gridCol w:w="892"/>
        <w:gridCol w:w="500"/>
      </w:tblGrid>
      <w:tr>
        <w:tc>
          <w:tcPr>
            <w:tcW w:w="4743"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531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September 30, 2026</w:t>
            </w:r>
          </w:p>
        </w:tc>
      </w:tr>
      <w:tr>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Grade</w:t>
            </w:r>
          </w:p>
        </w:tc>
        <w:tc>
          <w:tcPr>
            <w:tcW w:w="146" w:type="dxa"/>
            <w:tcBorders/>
            <w:vAlign w:val="bottom"/>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Summary Description</w:t>
            </w:r>
          </w:p>
        </w:tc>
        <w:tc>
          <w:tcPr>
            <w:tcW w:w="146" w:type="dxa"/>
            <w:tcBorders/>
            <w:vAlign w:val="bottom"/>
          </w:tcPr>
          <w:p>
            <w:pPr>
              <w:pStyle w:val="TableContents"/>
              <w:bidi w:val="0"/>
              <w:spacing w:before="0" w:after="283"/>
              <w:jc w:val="left"/>
            </w:pPr>
            <w:r>
              <w:t> </w:t>
            </w:r>
          </w:p>
        </w:tc>
        <w:tc>
          <w:tcPr>
            <w:tcW w:w="10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Value</w:t>
            </w:r>
          </w:p>
        </w:tc>
        <w:tc>
          <w:tcPr>
            <w:tcW w:w="146" w:type="dxa"/>
            <w:tcBorders/>
            <w:vAlign w:val="bottom"/>
          </w:tcPr>
          <w:p>
            <w:pPr>
              <w:pStyle w:val="TableContents"/>
              <w:bidi w:val="0"/>
              <w:spacing w:before="0" w:after="283"/>
              <w:jc w:val="left"/>
            </w:pPr>
            <w:r>
              <w:t> </w:t>
            </w:r>
          </w:p>
        </w:tc>
        <w:tc>
          <w:tcPr>
            <w:tcW w:w="13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c>
          <w:tcPr>
            <w:tcW w:w="146" w:type="dxa"/>
            <w:tcBorders/>
            <w:vAlign w:val="bottom"/>
          </w:tcPr>
          <w:p>
            <w:pPr>
              <w:pStyle w:val="TableContents"/>
              <w:bidi w:val="0"/>
              <w:spacing w:before="0" w:after="283"/>
              <w:jc w:val="left"/>
            </w:pPr>
            <w:r>
              <w:t> </w:t>
            </w:r>
          </w:p>
        </w:tc>
        <w:tc>
          <w:tcPr>
            <w:tcW w:w="10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Portfolio at </w:t>
              <w:br/>
              <w:t>Fair Value</w:t>
            </w:r>
          </w:p>
        </w:tc>
        <w:tc>
          <w:tcPr>
            <w:tcW w:w="146" w:type="dxa"/>
            <w:tcBorders/>
            <w:vAlign w:val="bottom"/>
          </w:tcPr>
          <w:p>
            <w:pPr>
              <w:pStyle w:val="TableContents"/>
              <w:bidi w:val="0"/>
              <w:spacing w:before="0" w:after="283"/>
              <w:jc w:val="left"/>
            </w:pPr>
            <w: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r>
      <w:t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pPr>
            <w: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is ahead of expectations and/or outperforming financial covenant requirements of the specific tranche and such trend is expected to continue.</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9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and interest is expected for the specific tranche.</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w:t>
            </w:r>
          </w:p>
        </w:tc>
        <w:tc>
          <w:tcPr>
            <w:tcW w:w="146" w:type="dxa"/>
            <w:tcBorders/>
            <w:vAlign w:val="bottom"/>
          </w:tcPr>
          <w:p>
            <w:pPr>
              <w:pStyle w:val="TableContents"/>
              <w:bidi w:val="0"/>
              <w:spacing w:before="0" w:after="283"/>
              <w:jc w:val="left"/>
            </w:pPr>
            <w:r>
              <w:t> </w:t>
            </w:r>
          </w:p>
        </w:tc>
        <w:tc>
          <w:tcPr>
            <w:tcW w:w="9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71.4</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127.9</w:t>
            </w:r>
          </w:p>
        </w:tc>
        <w:tc>
          <w:tcPr>
            <w:tcW w:w="146" w:type="dxa"/>
            <w:tcBorders/>
            <w:vAlign w:val="bottom"/>
          </w:tcPr>
          <w:p>
            <w:pPr>
              <w:pStyle w:val="TableContents"/>
              <w:bidi w:val="0"/>
              <w:spacing w:before="0" w:after="283"/>
              <w:jc w:val="left"/>
            </w:pPr>
            <w: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83.4</w:t>
            </w:r>
          </w:p>
        </w:tc>
        <w:tc>
          <w:tcPr>
            <w:tcW w:w="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pPr>
            <w: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Closer monitoring is required. Full repayment of the outstanding amount of OXSQ’s cost basis and interest is expected for the specific tranche.</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w:t>
            </w:r>
          </w:p>
        </w:tc>
        <w:tc>
          <w:tcPr>
            <w:tcW w:w="146" w:type="dxa"/>
            <w:tcBorders/>
            <w:shd w:fill="CCEEFF" w:val="clear"/>
            <w:vAlign w:val="bottom"/>
          </w:tcPr>
          <w:p>
            <w:pPr>
              <w:pStyle w:val="TableContents"/>
              <w:bidi w:val="0"/>
              <w:spacing w:before="0" w:after="283"/>
              <w:jc w:val="left"/>
            </w:pPr>
            <w:r>
              <w:t> </w:t>
            </w:r>
          </w:p>
        </w:tc>
        <w:tc>
          <w:tcPr>
            <w:tcW w:w="9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28.6</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25.5</w:t>
            </w:r>
          </w:p>
        </w:tc>
        <w:tc>
          <w:tcPr>
            <w:tcW w:w="146"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loss of interest income has occurred or is expected to occur and, in most cases, the investment is placed on non-accrual status. Full repayment of the outstanding amount of OXSQ’s cost basis is expected for the specific tranche.</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9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pPr>
            <w: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is not expected for the specific tranche and the investment is placed on non-accrual status.</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9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pPr>
            <w: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c>
          <w:tcPr>
            <w:tcW w:w="146" w:type="dxa"/>
            <w:tcBorders/>
            <w:vAlign w:val="bottom"/>
          </w:tcPr>
          <w:p>
            <w:pPr>
              <w:pStyle w:val="TableContents"/>
              <w:bidi w:val="0"/>
              <w:spacing w:before="0" w:after="283"/>
              <w:jc w:val="left"/>
            </w:pPr>
            <w:r>
              <w:t> </w:t>
            </w:r>
          </w:p>
        </w:tc>
        <w:tc>
          <w:tcPr>
            <w:tcW w:w="9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153.4</w:t>
            </w:r>
          </w:p>
        </w:tc>
        <w:tc>
          <w:tcPr>
            <w:tcW w:w="146" w:type="dxa"/>
            <w:tcBorders/>
            <w:vAlign w:val="bottom"/>
          </w:tcPr>
          <w:p>
            <w:pPr>
              <w:pStyle w:val="TableContents"/>
              <w:bidi w:val="0"/>
              <w:spacing w:before="0" w:after="283"/>
              <w:jc w:val="left"/>
            </w:pPr>
            <w:r>
              <w:t> </w:t>
            </w:r>
          </w:p>
        </w:tc>
        <w:tc>
          <w:tcPr>
            <w:tcW w:w="8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96"/>
        <w:gridCol w:w="146"/>
        <w:gridCol w:w="3801"/>
        <w:gridCol w:w="146"/>
        <w:gridCol w:w="308"/>
        <w:gridCol w:w="763"/>
        <w:gridCol w:w="146"/>
        <w:gridCol w:w="900"/>
        <w:gridCol w:w="442"/>
        <w:gridCol w:w="146"/>
        <w:gridCol w:w="308"/>
        <w:gridCol w:w="765"/>
        <w:gridCol w:w="146"/>
        <w:gridCol w:w="892"/>
        <w:gridCol w:w="500"/>
      </w:tblGrid>
      <w:tr>
        <w:tc>
          <w:tcPr>
            <w:tcW w:w="4743" w:type="dxa"/>
            <w:gridSpan w:val="3"/>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in millions)</w:t>
            </w:r>
          </w:p>
        </w:tc>
        <w:tc>
          <w:tcPr>
            <w:tcW w:w="146" w:type="dxa"/>
            <w:tcBorders/>
            <w:vAlign w:val="bottom"/>
          </w:tcPr>
          <w:p>
            <w:pPr>
              <w:pStyle w:val="TableContents"/>
              <w:bidi w:val="0"/>
              <w:spacing w:before="0" w:after="283"/>
              <w:jc w:val="left"/>
            </w:pPr>
            <w:r>
              <w:t> </w:t>
            </w:r>
          </w:p>
        </w:tc>
        <w:tc>
          <w:tcPr>
            <w:tcW w:w="5316"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December 31, 2025</w:t>
            </w:r>
          </w:p>
        </w:tc>
      </w:tr>
      <w:tr>
        <w:tc>
          <w:tcPr>
            <w:tcW w:w="7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Grade</w:t>
            </w:r>
          </w:p>
        </w:tc>
        <w:tc>
          <w:tcPr>
            <w:tcW w:w="146" w:type="dxa"/>
            <w:tcBorders/>
            <w:vAlign w:val="bottom"/>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Summary Description</w:t>
            </w:r>
          </w:p>
        </w:tc>
        <w:tc>
          <w:tcPr>
            <w:tcW w:w="146" w:type="dxa"/>
            <w:tcBorders/>
            <w:vAlign w:val="bottom"/>
          </w:tcPr>
          <w:p>
            <w:pPr>
              <w:pStyle w:val="TableContents"/>
              <w:bidi w:val="0"/>
              <w:spacing w:before="0" w:after="283"/>
              <w:jc w:val="left"/>
            </w:pPr>
            <w:r>
              <w:t> </w:t>
            </w:r>
          </w:p>
        </w:tc>
        <w:tc>
          <w:tcPr>
            <w:tcW w:w="10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Value</w:t>
            </w:r>
          </w:p>
        </w:tc>
        <w:tc>
          <w:tcPr>
            <w:tcW w:w="146" w:type="dxa"/>
            <w:tcBorders/>
            <w:vAlign w:val="bottom"/>
          </w:tcPr>
          <w:p>
            <w:pPr>
              <w:pStyle w:val="TableContents"/>
              <w:bidi w:val="0"/>
              <w:spacing w:before="0" w:after="283"/>
              <w:jc w:val="left"/>
            </w:pPr>
            <w:r>
              <w:t> </w:t>
            </w:r>
          </w:p>
        </w:tc>
        <w:tc>
          <w:tcPr>
            <w:tcW w:w="134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c>
          <w:tcPr>
            <w:tcW w:w="146" w:type="dxa"/>
            <w:tcBorders/>
            <w:vAlign w:val="bottom"/>
          </w:tcPr>
          <w:p>
            <w:pPr>
              <w:pStyle w:val="TableContents"/>
              <w:bidi w:val="0"/>
              <w:spacing w:before="0" w:after="283"/>
              <w:jc w:val="left"/>
            </w:pPr>
            <w:r>
              <w:t> </w:t>
            </w:r>
          </w:p>
        </w:tc>
        <w:tc>
          <w:tcPr>
            <w:tcW w:w="1073"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Portfolio at </w:t>
              <w:br/>
              <w:t>Fair Value</w:t>
            </w:r>
          </w:p>
        </w:tc>
        <w:tc>
          <w:tcPr>
            <w:tcW w:w="146" w:type="dxa"/>
            <w:tcBorders/>
            <w:vAlign w:val="bottom"/>
          </w:tcPr>
          <w:p>
            <w:pPr>
              <w:pStyle w:val="TableContents"/>
              <w:bidi w:val="0"/>
              <w:spacing w:before="0" w:after="283"/>
              <w:jc w:val="left"/>
            </w:pPr>
            <w:r>
              <w:t> </w:t>
            </w:r>
          </w:p>
        </w:tc>
        <w:tc>
          <w:tcPr>
            <w:tcW w:w="13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Percentage </w:t>
              <w:br/>
              <w:t xml:space="preserve">of Debt </w:t>
              <w:br/>
              <w:t>Portfolio</w:t>
            </w:r>
          </w:p>
        </w:tc>
      </w:tr>
      <w:t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pPr>
            <w: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Company is ahead of expectations and/or outperforming financial covenant requirements of the specific tranche and such trend is expected to continue.</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9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146" w:type="dxa"/>
            <w:tcBorders/>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and interest is expected for the specific tranche.</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129.1</w:t>
            </w:r>
          </w:p>
        </w:tc>
        <w:tc>
          <w:tcPr>
            <w:tcW w:w="146" w:type="dxa"/>
            <w:tcBorders/>
            <w:vAlign w:val="bottom"/>
          </w:tcPr>
          <w:p>
            <w:pPr>
              <w:pStyle w:val="TableContents"/>
              <w:bidi w:val="0"/>
              <w:spacing w:before="0" w:after="283"/>
              <w:jc w:val="left"/>
            </w:pPr>
            <w:r>
              <w:t> </w:t>
            </w:r>
          </w:p>
        </w:tc>
        <w:tc>
          <w:tcPr>
            <w:tcW w:w="90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68.7</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123.2</w:t>
            </w:r>
          </w:p>
        </w:tc>
        <w:tc>
          <w:tcPr>
            <w:tcW w:w="146" w:type="dxa"/>
            <w:tcBorders/>
            <w:vAlign w:val="bottom"/>
          </w:tcPr>
          <w:p>
            <w:pPr>
              <w:pStyle w:val="TableContents"/>
              <w:bidi w:val="0"/>
              <w:spacing w:before="0" w:after="283"/>
              <w:jc w:val="left"/>
            </w:pPr>
            <w: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83.7</w:t>
            </w:r>
          </w:p>
        </w:tc>
        <w:tc>
          <w:tcPr>
            <w:tcW w:w="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c>
          <w:tcPr>
            <w:tcW w:w="146" w:type="dxa"/>
            <w:tcBorders/>
            <w:shd w:fill="CCEEFF" w:val="clear"/>
          </w:tcPr>
          <w:p>
            <w:pPr>
              <w:pStyle w:val="TableContents"/>
              <w:bidi w:val="0"/>
              <w:spacing w:before="0" w:after="283"/>
              <w:jc w:val="left"/>
            </w:pPr>
            <w: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Closer monitoring is required. Full repayment of the outstanding amount of OXSQ’s cost basis and interest is expected for the specific tranche.</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58.9</w:t>
            </w:r>
          </w:p>
        </w:tc>
        <w:tc>
          <w:tcPr>
            <w:tcW w:w="146" w:type="dxa"/>
            <w:tcBorders/>
            <w:shd w:fill="CCEEFF" w:val="clear"/>
            <w:vAlign w:val="bottom"/>
          </w:tcPr>
          <w:p>
            <w:pPr>
              <w:pStyle w:val="TableContents"/>
              <w:bidi w:val="0"/>
              <w:spacing w:before="0" w:after="283"/>
              <w:jc w:val="left"/>
            </w:pPr>
            <w:r>
              <w:t> </w:t>
            </w:r>
          </w:p>
        </w:tc>
        <w:tc>
          <w:tcPr>
            <w:tcW w:w="90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146"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loss of interest income has occurred or is expected to occur and, in most cases, the investment is placed on non-accrual status. Full repayment of the outstanding amount of OXSQ’s cost basis is expected for the specific tranche.</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90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89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shd w:fill="CCEEFF" w:val="clear"/>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c>
          <w:tcPr>
            <w:tcW w:w="146" w:type="dxa"/>
            <w:tcBorders/>
            <w:shd w:fill="CCEEFF" w:val="clear"/>
          </w:tcPr>
          <w:p>
            <w:pPr>
              <w:pStyle w:val="TableContents"/>
              <w:bidi w:val="0"/>
              <w:spacing w:before="0" w:after="283"/>
              <w:jc w:val="left"/>
            </w:pPr>
            <w:r>
              <w:t> </w:t>
            </w:r>
          </w:p>
        </w:tc>
        <w:tc>
          <w:tcPr>
            <w:tcW w:w="38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Full repayment of the outstanding amount of OXSQ’s cost basis is not expected for the specific tranche and the investment is placed on non-accrual status</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90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4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pPr>
            <w:r>
              <w:t> </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89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50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79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8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pPr>
            <w: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188.0</w:t>
            </w:r>
          </w:p>
        </w:tc>
        <w:tc>
          <w:tcPr>
            <w:tcW w:w="146" w:type="dxa"/>
            <w:tcBorders/>
            <w:vAlign w:val="bottom"/>
          </w:tcPr>
          <w:p>
            <w:pPr>
              <w:pStyle w:val="TableContents"/>
              <w:bidi w:val="0"/>
              <w:spacing w:before="0" w:after="283"/>
              <w:jc w:val="left"/>
            </w:pPr>
            <w:r>
              <w:t> </w:t>
            </w:r>
          </w:p>
        </w:tc>
        <w:tc>
          <w:tcPr>
            <w:tcW w:w="90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44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pPr>
            <w:r>
              <w:t> </w:t>
            </w:r>
          </w:p>
        </w:tc>
        <w:tc>
          <w:tcPr>
            <w:tcW w:w="3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65"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147.3</w:t>
            </w:r>
          </w:p>
        </w:tc>
        <w:tc>
          <w:tcPr>
            <w:tcW w:w="146" w:type="dxa"/>
            <w:tcBorders/>
            <w:vAlign w:val="bottom"/>
          </w:tcPr>
          <w:p>
            <w:pPr>
              <w:pStyle w:val="TableContents"/>
              <w:bidi w:val="0"/>
              <w:spacing w:before="0" w:after="283"/>
              <w:jc w:val="left"/>
            </w:pPr>
            <w:r>
              <w:t> </w:t>
            </w:r>
          </w:p>
        </w:tc>
        <w:tc>
          <w:tcPr>
            <w:tcW w:w="89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100.0</w:t>
            </w:r>
          </w:p>
        </w:tc>
        <w:tc>
          <w:tcPr>
            <w:tcW w:w="50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a portion of our investments will be in the grades 3, 4 or 5 categories from time to time, and, as such, we will be required to work with troubled portfolio companies to improve their business and protect our investment. The number and amount of investments included in grades 3, 4 or 5 may fluctuate from period to period.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a comparison of our results of operations for the three and nine months ended September 30, 2026 to the three and nine months ended September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Investment income for the three months ended September 30, 2026 and 2025 was approximately $9.9 million and $10.2 million, respectively. Investment income for the nine months ended September 30, 2026 and 2025 was approximately $28.3 million and $29.9 million, respectively. The following tables set forth the components of investment income for the three and nine months ended September 30, 2026 and 2025:</w:t>
      </w:r>
    </w:p>
    <w:tbl>
      <w:tblPr>
        <w:tblW w:w="10043" w:type="dxa"/>
        <w:jc w:val="left"/>
        <w:tblInd w:w="0" w:type="dxa"/>
        <w:tblLayout w:type="fixed"/>
        <w:tblCellMar>
          <w:top w:w="0" w:type="dxa"/>
          <w:left w:w="0" w:type="dxa"/>
          <w:bottom w:w="0" w:type="dxa"/>
          <w:right w:w="0" w:type="dxa"/>
        </w:tblCellMar>
      </w:tblPr>
      <w:tblGrid>
        <w:gridCol w:w="6226"/>
        <w:gridCol w:w="146"/>
        <w:gridCol w:w="352"/>
        <w:gridCol w:w="1388"/>
        <w:gridCol w:w="146"/>
        <w:gridCol w:w="323"/>
        <w:gridCol w:w="1462"/>
      </w:tblGrid>
      <w:tr>
        <w:tc>
          <w:tcPr>
            <w:tcW w:w="6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7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7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Three Months </w:t>
              <w:br/>
              <w:t xml:space="preserve">Ended </w:t>
              <w:br/>
              <w:t xml:space="preserve">September 30, </w:t>
              <w:br/>
              <w:t>2025</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8"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2" w:type="dxa"/>
            <w:tcBorders/>
            <w:shd w:fill="CCEEFF" w:val="clear"/>
            <w:vAlign w:val="bottom"/>
          </w:tcPr>
          <w:p>
            <w:pPr>
              <w:pStyle w:val="TableContents"/>
              <w:bidi w:val="0"/>
              <w:spacing w:before="0" w:after="283"/>
              <w:jc w:val="left"/>
            </w:pPr>
            <w:r>
              <w:t> </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w:t>
            </w:r>
          </w:p>
        </w:tc>
        <w:tc>
          <w:tcPr>
            <w:tcW w:w="146" w:type="dxa"/>
            <w:tcBorders/>
            <w:vAlign w:val="bottom"/>
          </w:tcPr>
          <w:p>
            <w:pPr>
              <w:pStyle w:val="TableContents"/>
              <w:bidi w:val="0"/>
              <w:spacing w:before="0" w:after="283"/>
              <w:jc w:val="left"/>
            </w:pPr>
            <w: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3,463,165</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3,810,589</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1,174,554</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615,706</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 derived from unscheduled remittances at par</w:t>
            </w:r>
          </w:p>
        </w:tc>
        <w:tc>
          <w:tcPr>
            <w:tcW w:w="146" w:type="dxa"/>
            <w:tcBorders/>
            <w:vAlign w:val="bottom"/>
          </w:tcPr>
          <w:p>
            <w:pPr>
              <w:pStyle w:val="TableContents"/>
              <w:bidi w:val="0"/>
              <w:spacing w:before="0" w:after="283"/>
              <w:jc w:val="left"/>
            </w:pPr>
            <w: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51,164</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30,249</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4,688,883</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4,456,544</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pPr>
            <w: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944,668</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705,534</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3,623,609</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4,298,003</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pPr>
            <w:r>
              <w:t> </w:t>
            </w:r>
          </w:p>
        </w:tc>
        <w:tc>
          <w:tcPr>
            <w:tcW w:w="35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88"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2" w:type="dxa"/>
            <w:tcBorders/>
            <w:vAlign w:val="bottom"/>
          </w:tcPr>
          <w:p>
            <w:pPr>
              <w:pStyle w:val="TableContents"/>
              <w:bidi w:val="0"/>
              <w:spacing w:before="0" w:after="283"/>
              <w:jc w:val="left"/>
            </w:pPr>
            <w:r>
              <w:t> </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196,162</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185,340</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w:t>
            </w:r>
          </w:p>
        </w:tc>
        <w:tc>
          <w:tcPr>
            <w:tcW w:w="146" w:type="dxa"/>
            <w:tcBorders/>
            <w:vAlign w:val="bottom"/>
          </w:tcPr>
          <w:p>
            <w:pPr>
              <w:pStyle w:val="TableContents"/>
              <w:bidi w:val="0"/>
              <w:spacing w:before="0" w:after="283"/>
              <w:jc w:val="left"/>
            </w:pPr>
            <w: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88"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453,309</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594,512</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pPr>
            <w:r>
              <w:t> </w:t>
            </w:r>
          </w:p>
        </w:tc>
        <w:tc>
          <w:tcPr>
            <w:tcW w:w="35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649,471</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779,852</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pPr>
            <w:r>
              <w:t> </w:t>
            </w:r>
          </w:p>
        </w:tc>
        <w:tc>
          <w:tcPr>
            <w:tcW w:w="3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8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9,906,631</w:t>
            </w:r>
          </w:p>
        </w:tc>
        <w:tc>
          <w:tcPr>
            <w:tcW w:w="146" w:type="dxa"/>
            <w:tcBorders/>
            <w:vAlign w:val="bottom"/>
          </w:tcPr>
          <w:p>
            <w:pPr>
              <w:pStyle w:val="TableContents"/>
              <w:bidi w:val="0"/>
              <w:spacing w:before="0" w:after="283"/>
              <w:jc w:val="left"/>
            </w:pPr>
            <w:r>
              <w:t> </w:t>
            </w:r>
          </w:p>
        </w:tc>
        <w:tc>
          <w:tcPr>
            <w:tcW w:w="32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10,239,933</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043" w:type="dxa"/>
        <w:jc w:val="left"/>
        <w:tblInd w:w="0" w:type="dxa"/>
        <w:tblLayout w:type="fixed"/>
        <w:tblCellMar>
          <w:top w:w="0" w:type="dxa"/>
          <w:left w:w="0" w:type="dxa"/>
          <w:bottom w:w="0" w:type="dxa"/>
          <w:right w:w="0" w:type="dxa"/>
        </w:tblCellMar>
      </w:tblPr>
      <w:tblGrid>
        <w:gridCol w:w="6226"/>
        <w:gridCol w:w="146"/>
        <w:gridCol w:w="324"/>
        <w:gridCol w:w="1416"/>
        <w:gridCol w:w="146"/>
        <w:gridCol w:w="323"/>
        <w:gridCol w:w="1462"/>
      </w:tblGrid>
      <w:tr>
        <w:tc>
          <w:tcPr>
            <w:tcW w:w="62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pPr>
            <w:r>
              <w:t> </w:t>
            </w:r>
          </w:p>
        </w:tc>
        <w:tc>
          <w:tcPr>
            <w:tcW w:w="17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2026</w:t>
            </w:r>
          </w:p>
        </w:tc>
        <w:tc>
          <w:tcPr>
            <w:tcW w:w="146" w:type="dxa"/>
            <w:tcBorders/>
            <w:vAlign w:val="bottom"/>
          </w:tcPr>
          <w:p>
            <w:pPr>
              <w:pStyle w:val="TableContents"/>
              <w:bidi w:val="0"/>
              <w:spacing w:before="0" w:after="283"/>
              <w:jc w:val="left"/>
            </w:pPr>
            <w:r>
              <w:t> </w:t>
            </w:r>
          </w:p>
        </w:tc>
        <w:tc>
          <w:tcPr>
            <w:tcW w:w="178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Nine Months </w:t>
              <w:br/>
              <w:t xml:space="preserve">Ended </w:t>
              <w:br/>
              <w:t xml:space="preserve">September 30, </w:t>
              <w:br/>
              <w:t>2025</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2" w:type="dxa"/>
            <w:tcBorders/>
            <w:shd w:fill="CCEEFF" w:val="clear"/>
            <w:vAlign w:val="bottom"/>
          </w:tcPr>
          <w:p>
            <w:pPr>
              <w:pStyle w:val="TableContents"/>
              <w:bidi w:val="0"/>
              <w:spacing w:before="0" w:after="283"/>
              <w:jc w:val="left"/>
            </w:pPr>
            <w:r>
              <w:t> </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Stated interest income(1)</w:t>
            </w:r>
          </w:p>
        </w:tc>
        <w:tc>
          <w:tcPr>
            <w:tcW w:w="146" w:type="dxa"/>
            <w:tcBorders/>
            <w:vAlign w:val="bottom"/>
          </w:tcPr>
          <w:p>
            <w:pPr>
              <w:pStyle w:val="TableContents"/>
              <w:bidi w:val="0"/>
              <w:spacing w:before="0" w:after="283"/>
              <w:jc w:val="left"/>
            </w:pPr>
            <w:r>
              <w:t> </w:t>
            </w:r>
          </w:p>
        </w:tc>
        <w:tc>
          <w:tcPr>
            <w:tcW w:w="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10,218,006</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11,449,428</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Original issue discount and market discount income</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3,260,047</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2,032,425</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Discount income derived from unscheduled remittances at par</w:t>
            </w:r>
          </w:p>
        </w:tc>
        <w:tc>
          <w:tcPr>
            <w:tcW w:w="146" w:type="dxa"/>
            <w:tcBorders/>
            <w:vAlign w:val="bottom"/>
          </w:tcPr>
          <w:p>
            <w:pPr>
              <w:pStyle w:val="TableContents"/>
              <w:bidi w:val="0"/>
              <w:spacing w:before="0" w:after="283"/>
              <w:jc w:val="left"/>
            </w:pPr>
            <w: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65,369</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29,288</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interest income – debt investments(1)</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13,543,422</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13,511,141</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Interest income – debt investments – PIK(1)</w:t>
            </w:r>
          </w:p>
        </w:tc>
        <w:tc>
          <w:tcPr>
            <w:tcW w:w="146" w:type="dxa"/>
            <w:tcBorders/>
            <w:vAlign w:val="bottom"/>
          </w:tcPr>
          <w:p>
            <w:pPr>
              <w:pStyle w:val="TableContents"/>
              <w:bidi w:val="0"/>
              <w:spacing w:before="0" w:after="283"/>
              <w:jc w:val="left"/>
            </w:pPr>
            <w:r>
              <w:t> </w:t>
            </w:r>
          </w:p>
        </w:tc>
        <w:tc>
          <w:tcPr>
            <w:tcW w:w="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2,628,190</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2,271,142</w:t>
            </w:r>
          </w:p>
        </w:tc>
      </w:tr>
      <w:tr>
        <w:tc>
          <w:tcPr>
            <w:tcW w:w="62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Income from securitization vehicles and investments</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10,356,553</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12,109,128</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Commitment, amendment and other fee income</w:t>
            </w:r>
          </w:p>
        </w:tc>
        <w:tc>
          <w:tcPr>
            <w:tcW w:w="146" w:type="dxa"/>
            <w:tcBorders/>
            <w:vAlign w:val="bottom"/>
          </w:tcPr>
          <w:p>
            <w:pPr>
              <w:pStyle w:val="TableContents"/>
              <w:bidi w:val="0"/>
              <w:spacing w:before="0" w:after="283"/>
              <w:jc w:val="left"/>
            </w:pPr>
            <w:r>
              <w:t> </w:t>
            </w:r>
          </w:p>
        </w:tc>
        <w:tc>
          <w:tcPr>
            <w:tcW w:w="32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16"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2" w:type="dxa"/>
            <w:tcBorders/>
            <w:vAlign w:val="bottom"/>
          </w:tcPr>
          <w:p>
            <w:pPr>
              <w:pStyle w:val="TableContents"/>
              <w:bidi w:val="0"/>
              <w:spacing w:before="0" w:after="283"/>
              <w:jc w:val="left"/>
            </w:pPr>
            <w:r>
              <w:t> </w:t>
            </w:r>
          </w:p>
        </w:tc>
      </w:tr>
      <w:tr>
        <w:tc>
          <w:tcPr>
            <w:tcW w:w="62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letters</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548,535</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474,398</w:t>
            </w:r>
          </w:p>
        </w:tc>
      </w:tr>
      <w:tr>
        <w:tc>
          <w:tcPr>
            <w:tcW w:w="62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Money market fund income and all other fees</w:t>
            </w:r>
            <w:r>
              <w:rPr>
                <w:rFonts w:ascii="Times New Roman PS Std;serif" w:hAnsi="Times New Roman PS Std;serif"/>
                <w:b/>
                <w:i w:val="false"/>
                <w:caps w:val="false"/>
                <w:smallCaps w:val="false"/>
                <w:sz w:val="20"/>
              </w:rPr>
              <w:t>(2)</w:t>
            </w:r>
          </w:p>
        </w:tc>
        <w:tc>
          <w:tcPr>
            <w:tcW w:w="146" w:type="dxa"/>
            <w:tcBorders/>
            <w:vAlign w:val="bottom"/>
          </w:tcPr>
          <w:p>
            <w:pPr>
              <w:pStyle w:val="TableContents"/>
              <w:bidi w:val="0"/>
              <w:spacing w:before="0" w:after="283"/>
              <w:jc w:val="left"/>
            </w:pPr>
            <w:r>
              <w:t> </w:t>
            </w:r>
          </w:p>
        </w:tc>
        <w:tc>
          <w:tcPr>
            <w:tcW w:w="32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1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1,174,702</w:t>
            </w:r>
          </w:p>
        </w:tc>
        <w:tc>
          <w:tcPr>
            <w:tcW w:w="146" w:type="dxa"/>
            <w:tcBorders/>
            <w:vAlign w:val="bottom"/>
          </w:tcPr>
          <w:p>
            <w:pPr>
              <w:pStyle w:val="TableContents"/>
              <w:bidi w:val="0"/>
              <w:spacing w:before="0" w:after="283"/>
              <w:jc w:val="left"/>
            </w:pPr>
            <w:r>
              <w:t> </w:t>
            </w:r>
          </w:p>
        </w:tc>
        <w:tc>
          <w:tcPr>
            <w:tcW w:w="3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1,557,355</w:t>
            </w:r>
          </w:p>
        </w:tc>
      </w:tr>
      <w:tr>
        <w:tc>
          <w:tcPr>
            <w:tcW w:w="622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commitment, amendment and other fee income</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1,723,237</w:t>
            </w:r>
          </w:p>
        </w:tc>
        <w:tc>
          <w:tcPr>
            <w:tcW w:w="146" w:type="dxa"/>
            <w:tcBorders/>
            <w:shd w:fill="CCEEFF" w:val="clear"/>
            <w:vAlign w:val="bottom"/>
          </w:tcPr>
          <w:p>
            <w:pPr>
              <w:pStyle w:val="TableContents"/>
              <w:bidi w:val="0"/>
              <w:spacing w:before="0" w:after="283"/>
              <w:jc w:val="left"/>
            </w:pPr>
            <w:r>
              <w:t> </w:t>
            </w:r>
          </w:p>
        </w:tc>
        <w:tc>
          <w:tcPr>
            <w:tcW w:w="323"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2,031,753</w:t>
            </w:r>
          </w:p>
        </w:tc>
      </w:tr>
      <w:tr>
        <w:tc>
          <w:tcPr>
            <w:tcW w:w="62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investment income</w:t>
            </w:r>
          </w:p>
        </w:tc>
        <w:tc>
          <w:tcPr>
            <w:tcW w:w="146" w:type="dxa"/>
            <w:tcBorders/>
            <w:vAlign w:val="bottom"/>
          </w:tcPr>
          <w:p>
            <w:pPr>
              <w:pStyle w:val="TableContents"/>
              <w:bidi w:val="0"/>
              <w:spacing w:before="0" w:after="283"/>
              <w:jc w:val="left"/>
            </w:pPr>
            <w: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28,251,402</w:t>
            </w:r>
          </w:p>
        </w:tc>
        <w:tc>
          <w:tcPr>
            <w:tcW w:w="146" w:type="dxa"/>
            <w:tcBorders/>
            <w:vAlign w:val="bottom"/>
          </w:tcPr>
          <w:p>
            <w:pPr>
              <w:pStyle w:val="TableContents"/>
              <w:bidi w:val="0"/>
              <w:spacing w:before="0" w:after="283"/>
              <w:jc w:val="left"/>
            </w:pPr>
            <w:r>
              <w:t> </w:t>
            </w:r>
          </w:p>
        </w:tc>
        <w:tc>
          <w:tcPr>
            <w:tcW w:w="32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29,923,164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Change in prior period was made to conform to the current period presentation.</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For the nine months ended September 30, 2025, we earned approximately $131,000 of PIK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decrease in total investment income for the three and nine months ended September 30, 2026 was primarily due to a decrease in income from securitization vehicles and investments for the three and nine months ended September 30,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total principal value of income producing debt investments (including convertible debt) as of September 30, 2026 and 2025 was approximately $192.4 million and $180.6 million, respectively. As of September 30, 2026, our debt investments had a range of stated interest rates of 6.40% and 17.00% and maturity dates of between 22 and 77 months, compared to a range of stated interest rates of 6.91% and 12.75% and maturity dates between 2 and 94 months as of September 30, 2025. In addition, our total debt portfolio had a weighted average yield on debt investments of approximately 14.97% as of September 30, 2026, compared to approximately 14.60% as of September 30, 2025. As of September 30, 2026 and 2025, we had no debt investments on non-accrual status.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Income from securitization vehicles for the three months ended September 30, 2026 and 2025, was approximately $3.6 million and $4.3 million, respectively. Income from securitization vehicles for the nine months ended September 30, 2026 and 2025, was approximately $10.4 million and $12.1 million, respectively. The total principal outstanding on our investments in CLOs as of September 30, 2026 and 2025, was approximately $367.8 million and $376.1 million, respectively. The weighted average yield on CLO equity investments as of September 30, 2026 and 2025, was approximately 8.1% and 9.7%, respectively.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expenses for the three months ended September 30, 2026 and 2025, were approximately $5.0 million and $4.7 million, respectively. Total expenses for the nine months ended September 30, 2026 and 2025, were approximately $14.0 million and $12.8 million, respectively. These amounts consisted of base management fees, interest expense, professional fees, compensation expense, general and administrative expenses, net investment income incentive fees, and excise tax, as well as related excise tax reversals. That increase for the three and nine months ended September 30, 2026 was primarily due to an increase in interest expense.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base management fee for the three months ended September 30, 2026 was approximately $1.0 million, compared with approximately $1.1 million for the three months ended September 30, 2025. The base management fee for the nine months ended September 30, 2026 was approximately $3.0 million compared with approximately $3.1 million for the nine months ended September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net investment income incentive fees for the three and nine months ended September 30, 2026 and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expense for the three and nine months ended September 30, 2026, was approximately $2.8 million and $8.4 million, respectively, which relates to our 5.50% unsecured notes due 2028 (the “5.50% Unsecured Notes”) and 7.75% unsecured notes due 2030 (the “7.75% Unsecured Notes”). Interest expense for the three and nine months ended September 30, 2025, was approximately $2.6 million and $6.4 million, respectively, which relates to our 7.75% Unsecured Notes, 5.50% Unsecured Notes and 6.25% Unsecured Notes due 2026 (the “6.25% Unsecured Notes”).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Professional fees, consisting of legal, consulting, valuation, audit and tax fees, were approximately $365,000 for the three months ended September 30, 2026, compared to approximately $352,000 for the three months ended September 30, 2025. Professional fees were approximately $1.2 million for the nine months ended September 30, 2026, compared to approximately $1.1 million for the nine months ended September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expense was approximately $298,000 for the three months ended September 30, 2026, compared to approximately $254,000 for the three months ended September 30, 2025. Compensation expense was approximately $777,000 for the nine months ended September 30, 2026, compared to approximately $722,000 for the nine months ended September 30, 2025. Compensation expense reflects the allocation of compensation expenses for the services of our Chief Financial Officer, accounting personnel, and other administrative support staff.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consisting primarily of directors’ fees, insurance, listing fees, transfer agent and custodian fees, office supplies, facilities costs, and other expenses, were approximately $504,000 for the three months ended September 30, 2026, compared to approximately $358,000 for the three months ended September 30, 2025. General and administrative expenses were approximately $1.2 million for the nine months ended September 30, 2026, compared to approximately $1.1 million for the nine months ended September 30, 2025. Office supplies, facilities costs and other expenses are allocated to us under the terms of the Administration Agreement.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excise tax for the three months ended September 30, 2026, as we did not owe excise tax for 2025 and we project that there will not be any excise tax due for 2026. This compared to $105,000 of excise tax for the three months ended September 30, 2025. Excise tax was approximately $(419,000) for the nine months ended September 30, 2026, which represents a reversal of previously accrued 2025 excise tax, as we did not owe excise tax for 2025 and we project that there will not be any excise tax due for 2026. This compared to approximately $250,000 of excise tax for the nine months ended September 30, 2025.</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Incentive Fees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was no net investment income incentive fee (“Net Investment Income Incentive Fee”) recorded for the three and nine months ended September 30, 2026 and 2025. The Net Investment Income Incentive Fee is calculated and payable quarterly in arrears based on the amount by which (x) the “Pre-Incentive Fee Net Investment Income” for the immediately preceding calendar quarter exceeds (y) the “Preferred Return Amount” for the calendar quarter. For this purpose, “Pre-Incentive Fee Net Investment Income” means interest income, dividend income and any other income accrued during the calendar quarter minus our operating expenses for the quarter (including the Base Fee, expenses payable under the Administration Agreement with Oxford Funds, and any interest expense and dividends paid on any issued and outstanding preferred stock, but excluding the incentive fee). Refer to “Note 7. Related Party Transactions” in the notes to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expense attributable to the capital gains incentive fee (the “Capital Gains Incentive Fee”), as reported under GAAP, is calculated as if the Company’s entire portfolio had been liquidated at period end, and therefore is calculated on the basis of net realized and unrealized gains and losses at the end of each period. That expense (or the reversal of such an expense) related to that hypothetical liquidation of the portfolio (and assuming no other changes in realized or unrealized gains and losses) would only become payable to our investment adviser in the event of a complete liquidation of our portfolio as of period end and the termination of the Investment Advisory Agreement on such date. For the three and nine months ended September 30, 2026 and 2025, no accrual was required as a result of the impact of accumulated net unrealized depreciation and net realized losses on our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 of the Capital Gains Incentive Fee which will actually be payable is determined in accordance with the terms of the Investment Advisory Agreement and is calculated as of the end of each calendar year (or upon termination of the Investment Advisory Agreement). The terms of the Investment Advisory Agreement state that the Capital Gains Incentive Fee calculation is based on net realized gains, if any, offset by gross unrealized depreciation for the calendar year. No effect is given to gross unrealized appreciation in this calculation. For the three and nine months ended September 30, 2026 and 2025, such an accrual was not required under the terms of the Investment Advisory Agreement.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Realized and Unrealized Gains/Losses on Investments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2026, we recognized net realized losses on investments of approximately $11.3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2026, our net change in unrealized appreciation was approximately $7.9 million, composed of $3.2 million in gross unrealized appreciation, $6.4 million in gross unrealized depreciation and approximately $11.2 million relating to the reversal of prior period net unrealized depreciation as investment gains and losses were realized. This includes net unrealized appreciation of approximately $2.0 million resulting from reductions to the cost value of our CLO equity investments representing the difference between distributions received, or entitled to be received, on our investments held in CLO equity subordinated notes and fee notes, of approximately $5.6 million and the effective yield interest income recognized on our CLO equity subordinated notes and the amortized cost adjusted income on our CLO equity fee notes of approximately $3.6 million. The most significant components of the net change in unrealized appreciation during the three months ended September 30, 2026, were as follows (in millions):</w:t>
      </w:r>
    </w:p>
    <w:tbl>
      <w:tblPr>
        <w:tblW w:w="8637" w:type="dxa"/>
        <w:jc w:val="left"/>
        <w:tblInd w:w="0" w:type="dxa"/>
        <w:tblLayout w:type="fixed"/>
        <w:tblCellMar>
          <w:top w:w="0" w:type="dxa"/>
          <w:left w:w="0" w:type="dxa"/>
          <w:bottom w:w="0" w:type="dxa"/>
          <w:right w:w="0" w:type="dxa"/>
        </w:tblCellMar>
      </w:tblPr>
      <w:tblGrid>
        <w:gridCol w:w="6826"/>
        <w:gridCol w:w="146"/>
        <w:gridCol w:w="427"/>
        <w:gridCol w:w="809"/>
        <w:gridCol w:w="429"/>
      </w:tblGrid>
      <w:tr>
        <w:tc>
          <w:tcPr>
            <w:tcW w:w="68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Portfolio Company</w:t>
            </w:r>
          </w:p>
        </w:tc>
        <w:tc>
          <w:tcPr>
            <w:tcW w:w="146" w:type="dxa"/>
            <w:tcBorders/>
            <w:vAlign w:val="bottom"/>
          </w:tcPr>
          <w:p>
            <w:pPr>
              <w:pStyle w:val="TableContents"/>
              <w:bidi w:val="0"/>
              <w:spacing w:before="0" w:after="283"/>
              <w:jc w:val="left"/>
            </w:pPr>
            <w: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Changes in </w:t>
              <w:br/>
              <w:t xml:space="preserve">Unrealized </w:t>
              <w:br/>
              <w:t xml:space="preserve">Appreciation/ </w:t>
              <w:br/>
              <w:t>(Depreciation)</w:t>
            </w:r>
          </w:p>
        </w:tc>
      </w:tr>
      <w:t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Telos CLO 2013-3, Ltd.</w:t>
            </w:r>
          </w:p>
        </w:tc>
        <w:tc>
          <w:tcPr>
            <w:tcW w:w="146" w:type="dxa"/>
            <w:tcBorders/>
            <w:shd w:fill="CCEEFF" w:val="clear"/>
            <w:vAlign w:val="bottom"/>
          </w:tcPr>
          <w:p>
            <w:pPr>
              <w:pStyle w:val="TableContents"/>
              <w:bidi w:val="0"/>
              <w:spacing w:before="0" w:after="283"/>
              <w:jc w:val="left"/>
            </w:pPr>
            <w:r>
              <w:t> </w:t>
            </w:r>
          </w:p>
        </w:tc>
        <w:tc>
          <w:tcPr>
            <w:tcW w:w="42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Zais CLO 6, Ltd.</w:t>
            </w:r>
          </w:p>
        </w:tc>
        <w:tc>
          <w:tcPr>
            <w:tcW w:w="146" w:type="dxa"/>
            <w:tcBorders/>
            <w:vAlign w:val="bottom"/>
          </w:tcPr>
          <w:p>
            <w:pPr>
              <w:pStyle w:val="TableContents"/>
              <w:bidi w:val="0"/>
              <w:spacing w:before="0" w:after="283"/>
              <w:jc w:val="left"/>
            </w:pPr>
            <w: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4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Dodge Construction Network LLC (f/k/a Dodge Data &amp; Analytics, LLC)</w:t>
            </w:r>
          </w:p>
        </w:tc>
        <w:tc>
          <w:tcPr>
            <w:tcW w:w="146" w:type="dxa"/>
            <w:tcBorders/>
            <w:shd w:fill="CCEEFF" w:val="clear"/>
            <w:vAlign w:val="bottom"/>
          </w:tcPr>
          <w:p>
            <w:pPr>
              <w:pStyle w:val="TableContents"/>
              <w:bidi w:val="0"/>
              <w:spacing w:before="0" w:after="283"/>
              <w:jc w:val="left"/>
            </w:pPr>
            <w:r>
              <w:t> </w:t>
            </w:r>
          </w:p>
        </w:tc>
        <w:tc>
          <w:tcPr>
            <w:tcW w:w="4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Magenta Buyer, LLC (f/k/a McAfee Enterprise, LLC)</w:t>
            </w:r>
          </w:p>
        </w:tc>
        <w:tc>
          <w:tcPr>
            <w:tcW w:w="146" w:type="dxa"/>
            <w:tcBorders/>
            <w:vAlign w:val="bottom"/>
          </w:tcPr>
          <w:p>
            <w:pPr>
              <w:pStyle w:val="TableContents"/>
              <w:bidi w:val="0"/>
              <w:spacing w:before="0" w:after="283"/>
              <w:jc w:val="left"/>
            </w:pPr>
            <w: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Dryden 109 CLO, Ltd.</w:t>
            </w:r>
          </w:p>
        </w:tc>
        <w:tc>
          <w:tcPr>
            <w:tcW w:w="146" w:type="dxa"/>
            <w:tcBorders/>
            <w:shd w:fill="CCEEFF" w:val="clear"/>
            <w:vAlign w:val="bottom"/>
          </w:tcPr>
          <w:p>
            <w:pPr>
              <w:pStyle w:val="TableContents"/>
              <w:bidi w:val="0"/>
              <w:spacing w:before="0" w:after="283"/>
              <w:jc w:val="left"/>
            </w:pPr>
            <w:r>
              <w:t> </w:t>
            </w:r>
          </w:p>
        </w:tc>
        <w:tc>
          <w:tcPr>
            <w:tcW w:w="42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w:t>
            </w:r>
          </w:p>
        </w:tc>
        <w:tc>
          <w:tcPr>
            <w:tcW w:w="429"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8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all other</w:t>
            </w:r>
          </w:p>
        </w:tc>
        <w:tc>
          <w:tcPr>
            <w:tcW w:w="146" w:type="dxa"/>
            <w:tcBorders/>
            <w:vAlign w:val="bottom"/>
          </w:tcPr>
          <w:p>
            <w:pPr>
              <w:pStyle w:val="TableContents"/>
              <w:bidi w:val="0"/>
              <w:spacing w:before="0" w:after="283"/>
              <w:jc w:val="left"/>
            </w:pPr>
            <w:r>
              <w:t> </w:t>
            </w:r>
          </w:p>
        </w:tc>
        <w:tc>
          <w:tcPr>
            <w:tcW w:w="42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42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68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pPr>
            <w:r>
              <w:t> </w:t>
            </w:r>
          </w:p>
        </w:tc>
        <w:tc>
          <w:tcPr>
            <w:tcW w:w="42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w:t>
            </w:r>
          </w:p>
        </w:tc>
        <w:tc>
          <w:tcPr>
            <w:tcW w:w="42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2026, we recognized net realized losses on investments of approximately $47.2 million.</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nine months ended September 30, 2026, our net change in unrealized appreciation was approximately $13.1 million, composed of $2.6 million in gross unrealized appreciation, $33.5 million in gross unrealized depreciation and approximately $44.0 million relating to the reversal of prior period net unrealized depreciation as investment gains and losses were realized. This includes net unrealized appreciation of approximately $8.7 million resulting from reductions to the cost value of our CLO equity investments representing the difference between distributions received, or entitled to be received, on our investments held in CLO equity subordinated notes and fee notes, of approximately $19.0 million and the effective yield interest income recognized on our CLO equity subordinated notes and the amortized cost adjusted income on our CLO equity fee notes of approximately $10.2 million. The most significant components of the net change in unrealized appreciation during the nine months ended September 30, 2026, were as follows (in millions):</w:t>
      </w:r>
    </w:p>
    <w:tbl>
      <w:tblPr>
        <w:tblW w:w="6762" w:type="dxa"/>
        <w:jc w:val="left"/>
        <w:tblInd w:w="0" w:type="dxa"/>
        <w:tblLayout w:type="fixed"/>
        <w:tblCellMar>
          <w:top w:w="0" w:type="dxa"/>
          <w:left w:w="0" w:type="dxa"/>
          <w:bottom w:w="0" w:type="dxa"/>
          <w:right w:w="0" w:type="dxa"/>
        </w:tblCellMar>
      </w:tblPr>
      <w:tblGrid>
        <w:gridCol w:w="4951"/>
        <w:gridCol w:w="146"/>
        <w:gridCol w:w="386"/>
        <w:gridCol w:w="892"/>
        <w:gridCol w:w="387"/>
      </w:tblGrid>
      <w:tr>
        <w:tc>
          <w:tcPr>
            <w:tcW w:w="49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Portfolio Company</w:t>
            </w:r>
          </w:p>
        </w:tc>
        <w:tc>
          <w:tcPr>
            <w:tcW w:w="146" w:type="dxa"/>
            <w:tcBorders/>
            <w:vAlign w:val="bottom"/>
          </w:tcPr>
          <w:p>
            <w:pPr>
              <w:pStyle w:val="TableContents"/>
              <w:bidi w:val="0"/>
              <w:spacing w:before="0" w:after="283"/>
              <w:jc w:val="left"/>
            </w:pPr>
            <w:r>
              <w:t> </w:t>
            </w:r>
          </w:p>
        </w:tc>
        <w:tc>
          <w:tcPr>
            <w:tcW w:w="166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Changes in </w:t>
              <w:br/>
              <w:t xml:space="preserve">Unrealized </w:t>
              <w:br/>
              <w:t xml:space="preserve">Appreciation/ </w:t>
              <w:br/>
              <w:t>(Depreciation)</w:t>
            </w:r>
          </w:p>
        </w:tc>
      </w:tr>
      <w:t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Telos CLO 2014-5, Ltd.</w:t>
            </w:r>
          </w:p>
        </w:tc>
        <w:tc>
          <w:tcPr>
            <w:tcW w:w="146"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RSA Security, LLC</w:t>
            </w:r>
          </w:p>
        </w:tc>
        <w:tc>
          <w:tcPr>
            <w:tcW w:w="146" w:type="dxa"/>
            <w:tcBorders/>
            <w:vAlign w:val="bottom"/>
          </w:tcPr>
          <w:p>
            <w:pPr>
              <w:pStyle w:val="TableContents"/>
              <w:bidi w:val="0"/>
              <w:spacing w:before="0" w:after="283"/>
              <w:jc w:val="left"/>
            </w:pPr>
            <w: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Telos CLO 2013-3, Ltd.</w:t>
            </w:r>
          </w:p>
        </w:tc>
        <w:tc>
          <w:tcPr>
            <w:tcW w:w="146"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Zais CLO 6, Ltd.</w:t>
            </w:r>
          </w:p>
        </w:tc>
        <w:tc>
          <w:tcPr>
            <w:tcW w:w="146" w:type="dxa"/>
            <w:tcBorders/>
            <w:vAlign w:val="bottom"/>
          </w:tcPr>
          <w:p>
            <w:pPr>
              <w:pStyle w:val="TableContents"/>
              <w:bidi w:val="0"/>
              <w:spacing w:before="0" w:after="283"/>
              <w:jc w:val="left"/>
            </w:pPr>
            <w: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c>
          <w:tcPr>
            <w:tcW w:w="38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Carlyle Global Market Strategies CLO 2021-6, Ltd.</w:t>
            </w:r>
          </w:p>
        </w:tc>
        <w:tc>
          <w:tcPr>
            <w:tcW w:w="146" w:type="dxa"/>
            <w:tcBorders/>
            <w:shd w:fill="CCEEFF" w:val="clear"/>
            <w:vAlign w:val="bottom"/>
          </w:tcPr>
          <w:p>
            <w:pPr>
              <w:pStyle w:val="TableContents"/>
              <w:bidi w:val="0"/>
              <w:spacing w:before="0" w:after="283"/>
              <w:jc w:val="left"/>
            </w:pPr>
            <w:r>
              <w:t> </w:t>
            </w:r>
          </w:p>
        </w:tc>
        <w:tc>
          <w:tcPr>
            <w:tcW w:w="3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w:t>
            </w:r>
          </w:p>
        </w:tc>
        <w:tc>
          <w:tcPr>
            <w:tcW w:w="38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9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all other</w:t>
            </w:r>
          </w:p>
        </w:tc>
        <w:tc>
          <w:tcPr>
            <w:tcW w:w="146" w:type="dxa"/>
            <w:tcBorders/>
            <w:vAlign w:val="bottom"/>
          </w:tcPr>
          <w:p>
            <w:pPr>
              <w:pStyle w:val="TableContents"/>
              <w:bidi w:val="0"/>
              <w:spacing w:before="0" w:after="283"/>
              <w:jc w:val="left"/>
            </w:pPr>
            <w:r>
              <w:t> </w:t>
            </w:r>
          </w:p>
        </w:tc>
        <w:tc>
          <w:tcPr>
            <w:tcW w:w="3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9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w:t>
            </w:r>
          </w:p>
        </w:tc>
        <w:tc>
          <w:tcPr>
            <w:tcW w:w="38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49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pPr>
            <w:r>
              <w:t> </w:t>
            </w:r>
          </w:p>
        </w:tc>
        <w:tc>
          <w:tcPr>
            <w:tcW w:w="3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9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w:t>
            </w:r>
          </w:p>
        </w:tc>
        <w:tc>
          <w:tcPr>
            <w:tcW w:w="38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 in Net Assets Resulting from Net Investment Income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investment income for the three months ended September 30, 2026, and 2025 was approximately $4.9 million and $5.6 million, respectively. Net investment income for the nine months ended September 30, 2026, and 2025 was approximately $14.2 million and $17.2 million, respectively. The decreases in net investment income were primarily due to a decrease in income from securitization vehicles and investments as well as an increase in interest expense, partially offset by a decrease in excise tax.</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and nine months ended September 30, 2026, the net increase in net assets resulting from net investment income per common share was $0.04 and $0.14 (basic and diluted), compared to the net increase in net assets resulting from net investment income per share of $0.07 and $0.23 (basic and diluted) for the three and nine months ended September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Increase/Decrease in Net Assets Resulting from Operations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in net assets resulting from operations for the three months ended September 30, 2026 was approximately $1.6 million compared with a net decrease in net assets resulting from operations of approximately $2.1 million for the three months ended September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decrease in net assets resulting from operations for the nine months ended September 30, 2026 was approximately $20.0 million compared with a net decrease in net assets resulting from operations of approximately $5.8 million for the nine months ended September 30, 2025.</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three months ended September 30, 2026, the net increase in net assets resulting from operations per common share was $0.01 (basic and diluted), compared to a net decrease in net assets resulting from operations per share of $0.03 (basic and diluted) for the three months ended September 30, 2025. For the nine months ended September 30, 2026, the net decrease in net assets resulting from operations per common share was $0.20 (basic and diluted), compared to a net decrease in net assets resulting from operations per share of $0.08 (basic and diluted) for the nine months ended September 30, 2025.</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2026, cash and cash equivalents were approximately $43.5 million as compared to approximately $51.9 million as of December 31, 2025. For the nine months ended September 30, 2026, net cash used in operating activities for the period, consisting primarily of the items described in “— Results of Operations,” was approximately $28.4 million, largely reflecting purchases of investments of approximately $56.7 million, net change in unrealized appreciation of approximately $13.1 million, partially offset by net realized losses from investments of approximately $47.2 million and proceeds from principal repayments of approximately $11.2 million. For the nine months ended September 30, 2026, net cash provided by financing activities was approximately $19.9 million, reflecting the net proceeds of the issuance of common stock in connection with our at-the-market (“ATM”) program of approximately $49.5 million, partially offset by the payment of distributions of approximately $29.5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summary of our significant contractual payment obligations as of September 30, 2026, is as follows:</w:t>
      </w:r>
    </w:p>
    <w:tbl>
      <w:tblPr>
        <w:tblW w:w="9975" w:type="dxa"/>
        <w:jc w:val="left"/>
        <w:tblInd w:w="0" w:type="dxa"/>
        <w:tblLayout w:type="fixed"/>
        <w:tblCellMar>
          <w:top w:w="0" w:type="dxa"/>
          <w:left w:w="0" w:type="dxa"/>
          <w:bottom w:w="0" w:type="dxa"/>
          <w:right w:w="0" w:type="dxa"/>
        </w:tblCellMar>
      </w:tblPr>
      <w:tblGrid>
        <w:gridCol w:w="3841"/>
        <w:gridCol w:w="146"/>
        <w:gridCol w:w="324"/>
        <w:gridCol w:w="801"/>
        <w:gridCol w:w="146"/>
        <w:gridCol w:w="501"/>
        <w:gridCol w:w="714"/>
        <w:gridCol w:w="146"/>
        <w:gridCol w:w="286"/>
        <w:gridCol w:w="586"/>
        <w:gridCol w:w="146"/>
        <w:gridCol w:w="286"/>
        <w:gridCol w:w="586"/>
        <w:gridCol w:w="146"/>
        <w:gridCol w:w="512"/>
        <w:gridCol w:w="808"/>
      </w:tblGrid>
      <w:tr>
        <w:tc>
          <w:tcPr>
            <w:tcW w:w="384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Contractual obligations (in millions)</w:t>
            </w:r>
          </w:p>
        </w:tc>
        <w:tc>
          <w:tcPr>
            <w:tcW w:w="146" w:type="dxa"/>
            <w:vMerge w:val="restart"/>
            <w:tcBorders/>
            <w:vAlign w:val="bottom"/>
          </w:tcPr>
          <w:p>
            <w:pPr>
              <w:pStyle w:val="TableContents"/>
              <w:bidi w:val="0"/>
              <w:spacing w:before="0" w:after="283"/>
              <w:jc w:val="left"/>
            </w:pPr>
            <w:r>
              <w:t> </w:t>
            </w:r>
          </w:p>
        </w:tc>
        <w:tc>
          <w:tcPr>
            <w:tcW w:w="5988" w:type="dxa"/>
            <w:gridSpan w:val="1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Payments Due by Period</w:t>
            </w:r>
          </w:p>
        </w:tc>
      </w:tr>
      <w:tr>
        <w:tc>
          <w:tcPr>
            <w:tcW w:w="3841" w:type="dxa"/>
            <w:vMerge w:val="continue"/>
            <w:tcBorders/>
            <w:vAlign w:val="bottom"/>
          </w:tcPr>
          <w:p>
            <w:pPr>
              <w:pStyle w:val="Normal"/>
              <w:bidi w:val="0"/>
              <w:jc w:val="left"/>
            </w:pPr>
            <w:r/>
          </w:p>
        </w:tc>
        <w:tc>
          <w:tcPr>
            <w:tcW w:w="146" w:type="dxa"/>
            <w:vMerge w:val="continue"/>
            <w:tcBorders/>
            <w:vAlign w:val="bottom"/>
          </w:tcPr>
          <w:p>
            <w:pPr>
              <w:pStyle w:val="Normal"/>
              <w:bidi w:val="0"/>
              <w:jc w:val="left"/>
            </w:pPr>
            <w:r/>
          </w:p>
        </w:tc>
        <w:tc>
          <w:tcPr>
            <w:tcW w:w="112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Principal </w:t>
              <w:br/>
              <w:t>Amount</w:t>
            </w:r>
          </w:p>
        </w:tc>
        <w:tc>
          <w:tcPr>
            <w:tcW w:w="146" w:type="dxa"/>
            <w:tcBorders/>
            <w:vAlign w:val="bottom"/>
          </w:tcPr>
          <w:p>
            <w:pPr>
              <w:pStyle w:val="TableContents"/>
              <w:bidi w:val="0"/>
              <w:spacing w:before="0" w:after="283"/>
              <w:jc w:val="left"/>
            </w:pPr>
            <w: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Less than </w:t>
              <w:br/>
              <w:t>1 year</w:t>
            </w:r>
          </w:p>
        </w:tc>
        <w:tc>
          <w:tcPr>
            <w:tcW w:w="146" w:type="dxa"/>
            <w:tcBorders/>
            <w:vAlign w:val="bottom"/>
          </w:tcPr>
          <w:p>
            <w:pPr>
              <w:pStyle w:val="TableContents"/>
              <w:bidi w:val="0"/>
              <w:spacing w:before="0" w:after="283"/>
              <w:jc w:val="left"/>
            </w:pPr>
            <w: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1 – 3 </w:t>
              <w:br/>
              <w:t>years</w:t>
            </w:r>
          </w:p>
        </w:tc>
        <w:tc>
          <w:tcPr>
            <w:tcW w:w="146" w:type="dxa"/>
            <w:tcBorders/>
            <w:vAlign w:val="bottom"/>
          </w:tcPr>
          <w:p>
            <w:pPr>
              <w:pStyle w:val="TableContents"/>
              <w:bidi w:val="0"/>
              <w:spacing w:before="0" w:after="283"/>
              <w:jc w:val="left"/>
            </w:pPr>
            <w:r>
              <w:t> </w:t>
            </w:r>
          </w:p>
        </w:tc>
        <w:tc>
          <w:tcPr>
            <w:tcW w:w="87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3 – 5 </w:t>
              <w:br/>
              <w:t>years</w:t>
            </w:r>
          </w:p>
        </w:tc>
        <w:tc>
          <w:tcPr>
            <w:tcW w:w="146" w:type="dxa"/>
            <w:tcBorders/>
            <w:vAlign w:val="bottom"/>
          </w:tcPr>
          <w:p>
            <w:pPr>
              <w:pStyle w:val="TableContents"/>
              <w:bidi w:val="0"/>
              <w:spacing w:before="0" w:after="283"/>
              <w:jc w:val="left"/>
            </w:pPr>
            <w:r>
              <w:t> </w:t>
            </w:r>
          </w:p>
        </w:tc>
        <w:tc>
          <w:tcPr>
            <w:tcW w:w="132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More than </w:t>
              <w:br/>
              <w:t>5 years</w:t>
            </w:r>
          </w:p>
        </w:tc>
      </w:tr>
      <w:tr>
        <w:tc>
          <w:tcPr>
            <w:tcW w:w="3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Long-term debt obligations:</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586"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51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08" w:type="dxa"/>
            <w:tcBorders/>
            <w:shd w:fill="CCEEFF" w:val="clear"/>
            <w:vAlign w:val="bottom"/>
          </w:tcPr>
          <w:p>
            <w:pPr>
              <w:pStyle w:val="TableContents"/>
              <w:bidi w:val="0"/>
              <w:spacing w:before="0" w:after="283"/>
              <w:jc w:val="left"/>
            </w:pPr>
            <w:r>
              <w:t> </w:t>
            </w:r>
          </w:p>
        </w:tc>
      </w:tr>
      <w:tr>
        <w:tc>
          <w:tcPr>
            <w:tcW w:w="384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 Unsecured Notes</w:t>
            </w:r>
          </w:p>
        </w:tc>
        <w:tc>
          <w:tcPr>
            <w:tcW w:w="146" w:type="dxa"/>
            <w:tcBorders/>
            <w:vAlign w:val="bottom"/>
          </w:tcPr>
          <w:p>
            <w:pPr>
              <w:pStyle w:val="TableContents"/>
              <w:bidi w:val="0"/>
              <w:spacing w:before="0" w:after="283"/>
              <w:jc w:val="left"/>
            </w:pPr>
            <w:r>
              <w:t> </w:t>
            </w:r>
          </w:p>
        </w:tc>
        <w:tc>
          <w:tcPr>
            <w:tcW w:w="3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pPr>
            <w:r>
              <w:t> </w:t>
            </w:r>
          </w:p>
        </w:tc>
        <w:tc>
          <w:tcPr>
            <w:tcW w:w="5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pPr>
            <w: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51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384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 Unsecured Notes</w:t>
            </w:r>
          </w:p>
        </w:tc>
        <w:tc>
          <w:tcPr>
            <w:tcW w:w="146" w:type="dxa"/>
            <w:tcBorders/>
            <w:shd w:fill="CCEEFF" w:val="clear"/>
            <w:vAlign w:val="bottom"/>
          </w:tcPr>
          <w:p>
            <w:pPr>
              <w:pStyle w:val="TableContents"/>
              <w:bidi w:val="0"/>
              <w:spacing w:before="0" w:after="283"/>
              <w:jc w:val="left"/>
            </w:pPr>
            <w:r>
              <w:t> </w:t>
            </w:r>
          </w:p>
        </w:tc>
        <w:tc>
          <w:tcPr>
            <w:tcW w:w="32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pPr>
            <w:r>
              <w:t> </w:t>
            </w:r>
          </w:p>
        </w:tc>
        <w:tc>
          <w:tcPr>
            <w:tcW w:w="5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pPr>
            <w: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shd w:fill="CCEEFF" w:val="clear"/>
            <w:vAlign w:val="bottom"/>
          </w:tcPr>
          <w:p>
            <w:pPr>
              <w:pStyle w:val="TableContents"/>
              <w:bidi w:val="0"/>
              <w:spacing w:before="0" w:after="283"/>
              <w:jc w:val="left"/>
            </w:pPr>
            <w:r>
              <w:t> </w:t>
            </w:r>
          </w:p>
        </w:tc>
        <w:tc>
          <w:tcPr>
            <w:tcW w:w="51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384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2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155.3</w:t>
            </w:r>
          </w:p>
        </w:tc>
        <w:tc>
          <w:tcPr>
            <w:tcW w:w="146" w:type="dxa"/>
            <w:tcBorders/>
            <w:vAlign w:val="bottom"/>
          </w:tcPr>
          <w:p>
            <w:pPr>
              <w:pStyle w:val="TableContents"/>
              <w:bidi w:val="0"/>
              <w:spacing w:before="0" w:after="283"/>
              <w:jc w:val="left"/>
            </w:pPr>
            <w:r>
              <w:t> </w:t>
            </w:r>
          </w:p>
        </w:tc>
        <w:tc>
          <w:tcPr>
            <w:tcW w:w="5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4"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w:t>
            </w:r>
          </w:p>
        </w:tc>
        <w:tc>
          <w:tcPr>
            <w:tcW w:w="146" w:type="dxa"/>
            <w:tcBorders/>
            <w:vAlign w:val="bottom"/>
          </w:tcPr>
          <w:p>
            <w:pPr>
              <w:pStyle w:val="TableContents"/>
              <w:bidi w:val="0"/>
              <w:spacing w:before="0" w:after="283"/>
              <w:jc w:val="left"/>
            </w:pPr>
            <w: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5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74.8</w:t>
            </w:r>
          </w:p>
        </w:tc>
        <w:tc>
          <w:tcPr>
            <w:tcW w:w="146" w:type="dxa"/>
            <w:tcBorders/>
            <w:vAlign w:val="bottom"/>
          </w:tcPr>
          <w:p>
            <w:pPr>
              <w:pStyle w:val="TableContents"/>
              <w:bidi w:val="0"/>
              <w:spacing w:before="0" w:after="283"/>
              <w:jc w:val="left"/>
            </w:pPr>
            <w:r>
              <w:t> </w:t>
            </w:r>
          </w:p>
        </w:tc>
        <w:tc>
          <w:tcPr>
            <w:tcW w:w="51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0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6. Borrowings” in the notes to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normal course of business, we enter into a variety of undertakings containing a variety of warranties and indemnifications that may expose us to some risk of loss. The risk of future loss arising from such undertakings, while not quantifiable, is expected to be remote. As of September 30, 2026, we did not have any commitments to purchase additional investments.</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Share Issuance and Repurchase Programs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16, 2024, we entered into the amended and restated equity distribution agreement, as amended by Amendment No. 1 dated as of May 5, 2026 (the “Amended and Restated Equity Distribution Agreement”) with Lucid Capital Markets, LLC and Ladenburg Thalmann &amp; Co. Inc., as the sales agents, through which we may offer for sale, from time to time, up to $150.0 million of our common stock through an At-the-Market (“ATM”) offering. We sold a total of 14,077,235 and 32,515,131 shares of common stock pursuant to the ATM offering during the three months and nine months ended September 30, 2026, respectively. The total amount of capital raised net of underwriting fees and offering costs was approximately $19.4 million and $49.5 million during the three and nine months ended September 30, 2026,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30, 2025, the Board of Directors authorized a 12-month share repurchase program (the “Share Repurchase Program”). Under the Share Repurchase Program, we could have repurchased, during the 12-month period commencing on October 30, 2025, up to $25.0 million in the aggregate of our outstanding common stock in the open market. The timing, manner, price and amount of any share repurchases would have been determined by us, in our discretion, based upon the evaluation of economic and market conditions, our stock price, applicable legal, contractual and regulatory requirements and other factors. The Share Repurchase Program was effective until October 30, 2026. The Share Repurchase Program did not require us to repurchase any specific number of shares, and we could not assure stockholders that any shares would have been repurchased under the Share Repurchase Program. During the three and nine months ended September 30, 2026, no shares were repurchased under the Share Repurchase Program.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Borrowings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the 1940 Act, with certain limited exceptions, as of September 30, 2026, we were only allowed to borrow amounts such that our asset coverage, as defined in the 1940 Act, was at least 150%, immediately after such borrowing. As of September 30, 2026 and December 31, 2025, our asset coverage for borrowed amounts was approximately 192% and 191%,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stated interest rate and weighted average maturity on all of the Company’s debt outstanding as of September 30, 2026, were 6.58% and 2.8 years, respectively, and as of December 31, 2025, were 6.58% and 3.5 years, respectively.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May 20, 2021, we completed an underwritten public offering of approximately $80.5 million in aggregate principal amount of 5.50% Unsecured Notes. The 5.50% Unsecured Notes will mature on July 31, 2028, and may be redeemed in whole or in part at any time or from time to time at our option (on or after May 31, 2024). The 5.50% Unsecured Notes bear interest at a rate of 5.50% per year payable quarterly on January 31, April 30, July 31, and October 31, of each year. The 5.50% Unsecured Notes are listed on the NASDAQ Global Select Market under the trading symbol “OXSQG.”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7, 2025, we completed an underwritten public offering of approximately $74.8 million in aggregate principal amount of 7.75% Unsecured Notes. The 7.75% Unsecured Notes will mature on July 31, 2030, and may be redeemed in whole or in part at any time or from time to time at the Company’s option on or after July 31, 2027. The 7.75% Unsecured Notes bear interest at a rate of 7.75% per year payable quarterly on January 31, April 30, July 31, and October 31, of each year. The 7.75% Unsecured Notes are listed on the NASDAQ Global Select Market under the trading symbol “OXSQH.”</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Refer to “Note 6. Borrowings” in the notes to our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order to qualify for tax treatment as a RIC, and to avoid corporate level tax on the income we distribute to our stockholders, we are required, under Subchapter M of the Code, to distribute at least 90% of our ordinary income and short-term capital gains to our stockholders on an annual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our taxable earnings fall below the total amount of our distributions for that fiscal year, a portion of those distributions may be deemed a return of capital to our stockholders. Thus, the source of a distribution to our stockholders may be the original capital invested by the stockholder rather than our taxable ordinary income or capital gains. Stockholders should read any written disclosure accompanying a distribution payment carefully and should not assume that the source of any distribution is taxable ordinary income or capital gains. The final determination of the nature of our distributions can only be made upon the filing of our tax return. We have until October 15, 2027, to file our federal income tax return for the year ended December 31, 2026.</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achieve operating results that will allow us to make distributions at a specific level or to increase the amount of these distributions from time to time. In addition, we may be limited in our ability to make distributions due to the asset coverage requirements applicable to us as a BDC under the 1940 Act. If we do not distribute a certain percentage of our income annually, we will suffer adverse tax consequences, including possible loss of favorable regulated investment company tax treatment. We cannot assure stockholders that they will receive any distributions.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reflects the cash distributions, including distributions reinvested, if any, per share that our Board has declared on our common stock since the beginning of 2025:</w:t>
      </w:r>
    </w:p>
    <w:tbl>
      <w:tblPr>
        <w:tblW w:w="10205" w:type="dxa"/>
        <w:jc w:val="left"/>
        <w:tblInd w:w="0" w:type="dxa"/>
        <w:tblLayout w:type="fixed"/>
        <w:tblCellMar>
          <w:top w:w="0" w:type="dxa"/>
          <w:left w:w="0" w:type="dxa"/>
          <w:bottom w:w="0" w:type="dxa"/>
          <w:right w:w="0" w:type="dxa"/>
        </w:tblCellMar>
      </w:tblPr>
      <w:tblGrid>
        <w:gridCol w:w="1933"/>
        <w:gridCol w:w="146"/>
        <w:gridCol w:w="1554"/>
        <w:gridCol w:w="146"/>
        <w:gridCol w:w="1554"/>
        <w:gridCol w:w="146"/>
        <w:gridCol w:w="432"/>
        <w:gridCol w:w="1069"/>
        <w:gridCol w:w="146"/>
        <w:gridCol w:w="310"/>
        <w:gridCol w:w="636"/>
        <w:gridCol w:w="413"/>
        <w:gridCol w:w="146"/>
        <w:gridCol w:w="489"/>
        <w:gridCol w:w="1085"/>
      </w:tblGrid>
      <w:tr>
        <w:tc>
          <w:tcPr>
            <w:tcW w:w="19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pPr>
            <w:r>
              <w:t> </w:t>
            </w:r>
          </w:p>
        </w:tc>
        <w:tc>
          <w:tcPr>
            <w:tcW w:w="15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Distributions</w:t>
            </w:r>
          </w:p>
        </w:tc>
        <w:tc>
          <w:tcPr>
            <w:tcW w:w="146" w:type="dxa"/>
            <w:tcBorders/>
            <w:vAlign w:val="bottom"/>
          </w:tcPr>
          <w:p>
            <w:pPr>
              <w:pStyle w:val="TableContents"/>
              <w:bidi w:val="0"/>
              <w:spacing w:before="0" w:after="283"/>
              <w:jc w:val="left"/>
            </w:pPr>
            <w:r>
              <w:t> </w:t>
            </w:r>
          </w:p>
        </w:tc>
        <w:tc>
          <w:tcPr>
            <w:tcW w:w="135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GAAP Net </w:t>
              <w:br/>
              <w:t xml:space="preserve">Investment </w:t>
              <w:br/>
              <w:t>Income</w:t>
            </w:r>
          </w:p>
        </w:tc>
        <w:tc>
          <w:tcPr>
            <w:tcW w:w="146" w:type="dxa"/>
            <w:tcBorders/>
            <w:vAlign w:val="bottom"/>
          </w:tcPr>
          <w:p>
            <w:pPr>
              <w:pStyle w:val="TableContents"/>
              <w:bidi w:val="0"/>
              <w:spacing w:before="0" w:after="283"/>
              <w:jc w:val="left"/>
            </w:pPr>
            <w:r>
              <w:t> </w:t>
            </w:r>
          </w:p>
        </w:tc>
        <w:tc>
          <w:tcPr>
            <w:tcW w:w="157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 xml:space="preserve">in Excess of/ </w:t>
              <w:br/>
              <w:t xml:space="preserve">(Less than) </w:t>
              <w:br/>
              <w:t xml:space="preserve">GAAP Net </w:t>
              <w:br/>
              <w:t xml:space="preserve">Investment </w:t>
              <w:br/>
              <w:t>Income(1)</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2027(1)</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6" w:type="dxa"/>
            <w:tcBorders/>
            <w:shd w:fill="CCEEFF" w:val="clear"/>
            <w:vAlign w:val="bottom"/>
          </w:tcPr>
          <w:p>
            <w:pPr>
              <w:pStyle w:val="TableContents"/>
              <w:bidi w:val="0"/>
              <w:spacing w:before="0" w:after="283"/>
              <w:jc w:val="left"/>
            </w:pPr>
            <w:r>
              <w:t> </w:t>
            </w:r>
          </w:p>
        </w:tc>
        <w:tc>
          <w:tcPr>
            <w:tcW w:w="4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shd w:fill="CCEEFF" w:val="clear"/>
            <w:vAlign w:val="bottom"/>
          </w:tcPr>
          <w:p>
            <w:pPr>
              <w:pStyle w:val="TableContents"/>
              <w:bidi w:val="0"/>
              <w:spacing w:before="0" w:after="283"/>
              <w:jc w:val="left"/>
            </w:pPr>
            <w:r>
              <w:t> </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2027</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2027</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12, 2027</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2027</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15, 2027</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29, 2027</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(First Quarter 2027)</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6" w:type="dxa"/>
            <w:tcBorders/>
            <w:vAlign w:val="bottom"/>
          </w:tcPr>
          <w:p>
            <w:pPr>
              <w:pStyle w:val="TableContents"/>
              <w:bidi w:val="0"/>
              <w:spacing w:before="0" w:after="283"/>
              <w:jc w:val="left"/>
            </w:pPr>
            <w:r>
              <w:t> </w:t>
            </w:r>
          </w:p>
        </w:tc>
        <w:tc>
          <w:tcPr>
            <w:tcW w:w="4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vAlign w:val="bottom"/>
          </w:tcPr>
          <w:p>
            <w:pPr>
              <w:pStyle w:val="TableContents"/>
              <w:bidi w:val="0"/>
              <w:spacing w:before="0" w:after="283"/>
              <w:jc w:val="left"/>
            </w:pPr>
            <w:r>
              <w:t> </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2026(1)</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6" w:type="dxa"/>
            <w:tcBorders/>
            <w:shd w:fill="CCEEFF" w:val="clear"/>
            <w:vAlign w:val="bottom"/>
          </w:tcPr>
          <w:p>
            <w:pPr>
              <w:pStyle w:val="TableContents"/>
              <w:bidi w:val="0"/>
              <w:spacing w:before="0" w:after="283"/>
              <w:jc w:val="left"/>
            </w:pPr>
            <w:r>
              <w:t> </w:t>
            </w:r>
          </w:p>
        </w:tc>
        <w:tc>
          <w:tcPr>
            <w:tcW w:w="4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shd w:fill="CCEEFF" w:val="clear"/>
            <w:vAlign w:val="bottom"/>
          </w:tcPr>
          <w:p>
            <w:pPr>
              <w:pStyle w:val="TableContents"/>
              <w:bidi w:val="0"/>
              <w:spacing w:before="0" w:after="283"/>
              <w:jc w:val="left"/>
            </w:pPr>
            <w:r>
              <w:t> </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(Fourth Quarter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3"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6" w:type="dxa"/>
            <w:tcBorders/>
            <w:vAlign w:val="bottom"/>
          </w:tcPr>
          <w:p>
            <w:pPr>
              <w:pStyle w:val="TableContents"/>
              <w:bidi w:val="0"/>
              <w:spacing w:before="0" w:after="283"/>
              <w:jc w:val="left"/>
            </w:pPr>
            <w:r>
              <w:t> </w:t>
            </w:r>
          </w:p>
        </w:tc>
        <w:tc>
          <w:tcPr>
            <w:tcW w:w="4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vAlign w:val="bottom"/>
          </w:tcPr>
          <w:p>
            <w:pPr>
              <w:pStyle w:val="TableContents"/>
              <w:bidi w:val="0"/>
              <w:spacing w:before="0" w:after="283"/>
              <w:jc w:val="left"/>
            </w:pPr>
            <w:r>
              <w:t> </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2026</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17,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31, 2026</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27,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2026</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(Third Quarter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r>
      <w:tr>
        <w:tc>
          <w:tcPr>
            <w:tcW w:w="1933"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6" w:type="dxa"/>
            <w:tcBorders/>
            <w:shd w:fill="CCEEFF" w:val="clear"/>
            <w:vAlign w:val="bottom"/>
          </w:tcPr>
          <w:p>
            <w:pPr>
              <w:pStyle w:val="TableContents"/>
              <w:bidi w:val="0"/>
              <w:spacing w:before="0" w:after="283"/>
              <w:jc w:val="left"/>
            </w:pPr>
            <w:r>
              <w:t> </w:t>
            </w:r>
          </w:p>
        </w:tc>
        <w:tc>
          <w:tcPr>
            <w:tcW w:w="41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shd w:fill="CCEEFF" w:val="clear"/>
            <w:vAlign w:val="bottom"/>
          </w:tcPr>
          <w:p>
            <w:pPr>
              <w:pStyle w:val="TableContents"/>
              <w:bidi w:val="0"/>
              <w:spacing w:before="0" w:after="283"/>
              <w:jc w:val="left"/>
            </w:pPr>
            <w:r>
              <w:t> </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16,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2026</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15,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29, 2026</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16,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30, 2026</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(Second Quarter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r>
      <w:tr>
        <w:tc>
          <w:tcPr>
            <w:tcW w:w="1933"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6" w:type="dxa"/>
            <w:tcBorders/>
            <w:vAlign w:val="bottom"/>
          </w:tcPr>
          <w:p>
            <w:pPr>
              <w:pStyle w:val="TableContents"/>
              <w:bidi w:val="0"/>
              <w:spacing w:before="0" w:after="283"/>
              <w:jc w:val="left"/>
            </w:pPr>
            <w:r>
              <w:t> </w:t>
            </w:r>
          </w:p>
        </w:tc>
        <w:tc>
          <w:tcPr>
            <w:tcW w:w="41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vAlign w:val="bottom"/>
          </w:tcPr>
          <w:p>
            <w:pPr>
              <w:pStyle w:val="TableContents"/>
              <w:bidi w:val="0"/>
              <w:spacing w:before="0" w:after="283"/>
              <w:jc w:val="left"/>
            </w:pPr>
            <w:r>
              <w:t> </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2026</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13,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2026</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2025</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16, 2026</w:t>
            </w:r>
          </w:p>
        </w:tc>
        <w:tc>
          <w:tcPr>
            <w:tcW w:w="146" w:type="dxa"/>
            <w:tcBorders/>
            <w:shd w:fill="CCEEFF" w:val="clear"/>
            <w:vAlign w:val="bottom"/>
          </w:tcPr>
          <w:p>
            <w:pPr>
              <w:pStyle w:val="TableContents"/>
              <w:bidi w:val="0"/>
              <w:spacing w:before="0" w:after="283"/>
              <w:jc w:val="left"/>
            </w:pPr>
            <w:r>
              <w:t> </w:t>
            </w:r>
          </w:p>
        </w:tc>
        <w:tc>
          <w:tcPr>
            <w:tcW w:w="1554"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30, 2026</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33"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(First Quarter 2026)</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54"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0.05</w:t>
            </w:r>
          </w:p>
        </w:tc>
        <w:tc>
          <w:tcPr>
            <w:tcW w:w="4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0.06</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901"/>
        <w:gridCol w:w="146"/>
        <w:gridCol w:w="1569"/>
        <w:gridCol w:w="146"/>
        <w:gridCol w:w="1569"/>
        <w:gridCol w:w="146"/>
        <w:gridCol w:w="432"/>
        <w:gridCol w:w="1069"/>
        <w:gridCol w:w="146"/>
        <w:gridCol w:w="310"/>
        <w:gridCol w:w="637"/>
        <w:gridCol w:w="414"/>
        <w:gridCol w:w="146"/>
        <w:gridCol w:w="489"/>
        <w:gridCol w:w="1085"/>
      </w:tblGrid>
      <w:tr>
        <w:tc>
          <w:tcPr>
            <w:tcW w:w="19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Payment Date</w:t>
            </w:r>
          </w:p>
        </w:tc>
        <w:tc>
          <w:tcPr>
            <w:tcW w:w="146" w:type="dxa"/>
            <w:tcBorders/>
            <w:vAlign w:val="bottom"/>
          </w:tcPr>
          <w:p>
            <w:pPr>
              <w:pStyle w:val="TableContents"/>
              <w:bidi w:val="0"/>
              <w:spacing w:before="0" w:after="283"/>
              <w:jc w:val="left"/>
            </w:pPr>
            <w:r>
              <w:t> </w:t>
            </w:r>
          </w:p>
        </w:tc>
        <w:tc>
          <w:tcPr>
            <w:tcW w:w="15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Distributions</w:t>
            </w:r>
          </w:p>
        </w:tc>
        <w:tc>
          <w:tcPr>
            <w:tcW w:w="146" w:type="dxa"/>
            <w:tcBorders/>
            <w:vAlign w:val="bottom"/>
          </w:tcPr>
          <w:p>
            <w:pPr>
              <w:pStyle w:val="TableContents"/>
              <w:bidi w:val="0"/>
              <w:spacing w:before="0" w:after="283"/>
              <w:jc w:val="left"/>
            </w:pPr>
            <w:r>
              <w:t> </w:t>
            </w:r>
          </w:p>
        </w:tc>
        <w:tc>
          <w:tcPr>
            <w:tcW w:w="136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GAAP Net </w:t>
              <w:br/>
              <w:t xml:space="preserve">Investment </w:t>
              <w:br/>
              <w:t>Income</w:t>
            </w:r>
          </w:p>
        </w:tc>
        <w:tc>
          <w:tcPr>
            <w:tcW w:w="146" w:type="dxa"/>
            <w:tcBorders/>
            <w:vAlign w:val="bottom"/>
          </w:tcPr>
          <w:p>
            <w:pPr>
              <w:pStyle w:val="TableContents"/>
              <w:bidi w:val="0"/>
              <w:spacing w:before="0" w:after="283"/>
              <w:jc w:val="left"/>
            </w:pPr>
            <w:r>
              <w:t> </w:t>
            </w:r>
          </w:p>
        </w:tc>
        <w:tc>
          <w:tcPr>
            <w:tcW w:w="1574"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Distributions </w:t>
              <w:br/>
              <w:t xml:space="preserve">in Excess of/ </w:t>
              <w:br/>
              <w:t xml:space="preserve">(Less than) </w:t>
              <w:br/>
              <w:t xml:space="preserve">GAAP Net </w:t>
              <w:br/>
              <w:t xml:space="preserve">Investment </w:t>
              <w:br/>
              <w:t>Income(1)</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Fiscal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7" w:type="dxa"/>
            <w:tcBorders/>
            <w:shd w:fill="CCEEFF" w:val="clear"/>
            <w:vAlign w:val="bottom"/>
          </w:tcPr>
          <w:p>
            <w:pPr>
              <w:pStyle w:val="TableContents"/>
              <w:bidi w:val="0"/>
              <w:spacing w:before="0" w:after="283"/>
              <w:jc w:val="left"/>
            </w:pPr>
            <w:r>
              <w:t> </w:t>
            </w:r>
          </w:p>
        </w:tc>
        <w:tc>
          <w:tcPr>
            <w:tcW w:w="4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shd w:fill="CCEEFF" w:val="clear"/>
            <w:vAlign w:val="bottom"/>
          </w:tcPr>
          <w:p>
            <w:pPr>
              <w:pStyle w:val="TableContents"/>
              <w:bidi w:val="0"/>
              <w:spacing w:before="0" w:after="283"/>
              <w:jc w:val="left"/>
            </w:pPr>
            <w:r>
              <w:t> </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30,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2025</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30,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14,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28, 2025</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30,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17,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2025</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(Fourth Quarter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r>
      <w:tr>
        <w:tc>
          <w:tcPr>
            <w:tcW w:w="190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7" w:type="dxa"/>
            <w:tcBorders/>
            <w:vAlign w:val="bottom"/>
          </w:tcPr>
          <w:p>
            <w:pPr>
              <w:pStyle w:val="TableContents"/>
              <w:bidi w:val="0"/>
              <w:spacing w:before="0" w:after="283"/>
              <w:jc w:val="left"/>
            </w:pPr>
            <w:r>
              <w:t> </w:t>
            </w:r>
          </w:p>
        </w:tc>
        <w:tc>
          <w:tcPr>
            <w:tcW w:w="4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vAlign w:val="bottom"/>
          </w:tcPr>
          <w:p>
            <w:pPr>
              <w:pStyle w:val="TableContents"/>
              <w:bidi w:val="0"/>
              <w:spacing w:before="0" w:after="283"/>
              <w:jc w:val="left"/>
            </w:pPr>
            <w:r>
              <w:t> </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16,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September 30, 2025</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15,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August 29, 2025</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22,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17,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31, 2025</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(Third Quarter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0.07</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0.04</w:t>
            </w:r>
          </w:p>
        </w:tc>
      </w:tr>
      <w:tr>
        <w:tc>
          <w:tcPr>
            <w:tcW w:w="1901"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7" w:type="dxa"/>
            <w:tcBorders/>
            <w:shd w:fill="CCEEFF" w:val="clear"/>
            <w:vAlign w:val="bottom"/>
          </w:tcPr>
          <w:p>
            <w:pPr>
              <w:pStyle w:val="TableContents"/>
              <w:bidi w:val="0"/>
              <w:spacing w:before="0" w:after="283"/>
              <w:jc w:val="left"/>
            </w:pPr>
            <w:r>
              <w:t> </w:t>
            </w:r>
          </w:p>
        </w:tc>
        <w:tc>
          <w:tcPr>
            <w:tcW w:w="414"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shd w:fill="CCEEFF" w:val="clear"/>
            <w:vAlign w:val="bottom"/>
          </w:tcPr>
          <w:p>
            <w:pPr>
              <w:pStyle w:val="TableContents"/>
              <w:bidi w:val="0"/>
              <w:spacing w:before="0" w:after="283"/>
              <w:jc w:val="left"/>
            </w:pPr>
            <w:r>
              <w:t> </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16,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30, 2025</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16,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May 30, 2025</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27,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16,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30, 2025</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(Second Quarter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0.08</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w:t>
            </w:r>
          </w:p>
        </w:tc>
      </w:tr>
      <w:tr>
        <w:tc>
          <w:tcPr>
            <w:tcW w:w="1901"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637" w:type="dxa"/>
            <w:tcBorders/>
            <w:vAlign w:val="bottom"/>
          </w:tcPr>
          <w:p>
            <w:pPr>
              <w:pStyle w:val="TableContents"/>
              <w:bidi w:val="0"/>
              <w:spacing w:before="0" w:after="283"/>
              <w:jc w:val="left"/>
            </w:pPr>
            <w:r>
              <w:t> </w:t>
            </w:r>
          </w:p>
        </w:tc>
        <w:tc>
          <w:tcPr>
            <w:tcW w:w="41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85" w:type="dxa"/>
            <w:tcBorders/>
            <w:vAlign w:val="bottom"/>
          </w:tcPr>
          <w:p>
            <w:pPr>
              <w:pStyle w:val="TableContents"/>
              <w:bidi w:val="0"/>
              <w:spacing w:before="0" w:after="283"/>
              <w:jc w:val="left"/>
            </w:pPr>
            <w:r>
              <w:t> </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2024</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2025</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2024</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14,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28, 2025</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31, 2024</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17,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31, 2025</w:t>
            </w:r>
          </w:p>
        </w:tc>
        <w:tc>
          <w:tcPr>
            <w:tcW w:w="146" w:type="dxa"/>
            <w:tcBorders/>
            <w:shd w:fill="CCEEFF" w:val="clear"/>
            <w:vAlign w:val="bottom"/>
          </w:tcPr>
          <w:p>
            <w:pPr>
              <w:pStyle w:val="TableContents"/>
              <w:bidi w:val="0"/>
              <w:spacing w:before="0" w:after="283"/>
              <w:jc w:val="left"/>
            </w:pPr>
            <w:r>
              <w:t> </w:t>
            </w:r>
          </w:p>
        </w:tc>
        <w:tc>
          <w:tcPr>
            <w:tcW w:w="43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c>
          <w:tcPr>
            <w:tcW w:w="146" w:type="dxa"/>
            <w:tcBorders/>
            <w:shd w:fill="CCEEFF" w:val="clear"/>
            <w:vAlign w:val="bottom"/>
          </w:tcPr>
          <w:p>
            <w:pPr>
              <w:pStyle w:val="TableContents"/>
              <w:bidi w:val="0"/>
              <w:spacing w:before="0" w:after="283"/>
              <w:jc w:val="left"/>
            </w:pPr>
            <w:r>
              <w:t> </w:t>
            </w:r>
          </w:p>
        </w:tc>
        <w:tc>
          <w:tcPr>
            <w:tcW w:w="31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414"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pPr>
            <w:r>
              <w:t> </w:t>
            </w:r>
          </w:p>
        </w:tc>
        <w:tc>
          <w:tcPr>
            <w:tcW w:w="48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c>
          <w:tcPr>
            <w:tcW w:w="19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(First Quarter 2025)</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1569" w:type="dxa"/>
            <w:tcBorders/>
            <w:vAlign w:val="bottom"/>
          </w:tcPr>
          <w:p>
            <w:pPr>
              <w:pStyle w:val="TableContents"/>
              <w:bidi w:val="0"/>
              <w:spacing w:before="0" w:after="283"/>
              <w:jc w:val="left"/>
            </w:pPr>
            <w:r>
              <w:t> </w:t>
            </w:r>
          </w:p>
        </w:tc>
        <w:tc>
          <w:tcPr>
            <w:tcW w:w="146" w:type="dxa"/>
            <w:tcBorders/>
            <w:vAlign w:val="bottom"/>
          </w:tcPr>
          <w:p>
            <w:pPr>
              <w:pStyle w:val="TableContents"/>
              <w:bidi w:val="0"/>
              <w:spacing w:before="0" w:after="283"/>
              <w:jc w:val="left"/>
            </w:pPr>
            <w:r>
              <w:t> </w:t>
            </w:r>
          </w:p>
        </w:tc>
        <w:tc>
          <w:tcPr>
            <w:tcW w:w="43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6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0.105</w:t>
            </w:r>
          </w:p>
        </w:tc>
        <w:tc>
          <w:tcPr>
            <w:tcW w:w="146" w:type="dxa"/>
            <w:tcBorders/>
            <w:vAlign w:val="bottom"/>
          </w:tcPr>
          <w:p>
            <w:pPr>
              <w:pStyle w:val="TableContents"/>
              <w:bidi w:val="0"/>
              <w:spacing w:before="0" w:after="283"/>
              <w:jc w:val="left"/>
            </w:pPr>
            <w:r>
              <w:t> </w:t>
            </w:r>
          </w:p>
        </w:tc>
        <w:tc>
          <w:tcPr>
            <w:tcW w:w="31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63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0.09</w:t>
            </w:r>
          </w:p>
        </w:tc>
        <w:tc>
          <w:tcPr>
            <w:tcW w:w="414"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pPr>
            <w:r>
              <w:t> </w:t>
            </w:r>
          </w:p>
        </w:tc>
        <w:tc>
          <w:tcPr>
            <w:tcW w:w="48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8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0.02</w:t>
            </w:r>
          </w:p>
        </w:tc>
      </w:tr>
      <w:tr>
        <w:tc>
          <w:tcPr>
            <w:tcW w:w="19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Total (2025)</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1569" w:type="dxa"/>
            <w:tcBorders/>
            <w:shd w:fill="CCEEFF" w:val="clear"/>
            <w:vAlign w:val="bottom"/>
          </w:tcPr>
          <w:p>
            <w:pPr>
              <w:pStyle w:val="TableContents"/>
              <w:bidi w:val="0"/>
              <w:spacing w:before="0" w:after="283"/>
              <w:jc w:val="left"/>
            </w:pPr>
            <w:r>
              <w:t> </w:t>
            </w:r>
          </w:p>
        </w:tc>
        <w:tc>
          <w:tcPr>
            <w:tcW w:w="146" w:type="dxa"/>
            <w:tcBorders/>
            <w:shd w:fill="CCEEFF" w:val="clear"/>
            <w:vAlign w:val="bottom"/>
          </w:tcPr>
          <w:p>
            <w:pPr>
              <w:pStyle w:val="TableContents"/>
              <w:bidi w:val="0"/>
              <w:spacing w:before="0" w:after="283"/>
              <w:jc w:val="left"/>
            </w:pPr>
            <w:r>
              <w:t> </w:t>
            </w:r>
          </w:p>
        </w:tc>
        <w:tc>
          <w:tcPr>
            <w:tcW w:w="432"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0.420</w:t>
            </w:r>
          </w:p>
        </w:tc>
        <w:tc>
          <w:tcPr>
            <w:tcW w:w="146" w:type="dxa"/>
            <w:tcBorders/>
            <w:shd w:fill="CCEEFF" w:val="clear"/>
            <w:vAlign w:val="bottom"/>
          </w:tcPr>
          <w:p>
            <w:pPr>
              <w:pStyle w:val="TableContents"/>
              <w:bidi w:val="0"/>
              <w:spacing w:before="0" w:after="283"/>
              <w:jc w:val="left"/>
            </w:pPr>
            <w:r>
              <w:t> </w:t>
            </w:r>
          </w:p>
        </w:tc>
        <w:tc>
          <w:tcPr>
            <w:tcW w:w="3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63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0.30</w:t>
            </w:r>
          </w:p>
        </w:tc>
        <w:tc>
          <w:tcPr>
            <w:tcW w:w="414" w:type="dxa"/>
            <w:tcBorders/>
            <w:shd w:fill="CCEEFF" w:val="clear"/>
            <w:vAlign w:val="bottom"/>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c>
          <w:tcPr>
            <w:tcW w:w="146" w:type="dxa"/>
            <w:tcBorders/>
            <w:shd w:fill="CCEEFF" w:val="clear"/>
            <w:vAlign w:val="bottom"/>
          </w:tcPr>
          <w:p>
            <w:pPr>
              <w:pStyle w:val="TableContents"/>
              <w:bidi w:val="0"/>
              <w:spacing w:before="0" w:after="283"/>
              <w:jc w:val="left"/>
            </w:pPr>
            <w:r>
              <w:t> </w:t>
            </w:r>
          </w:p>
        </w:tc>
        <w:tc>
          <w:tcPr>
            <w:tcW w:w="48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8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0.12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tax characterization of cash distributions for the year ending December 31, 2026 and year ending December 31, 2027 will not be known until the tax return for such years are finalized. For the year ending December 31, 2026 and year ending December 31, 2027, the amounts and sources of distributions reported are only estimates and are not being provided for U.S. tax reporting purposes. The final determination of the source of all distributions in 2026 and 2027 will be made after year-end and the amounts represented may be materially different from the amounts disclosed in the final Form 1099-DIV notice. The actual amounts and sources of the amounts for tax reporting purposes will depend upon our investment performance and may be subject to change based on tax regulations.</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Totals may not sum due to rounding.</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We have not yet reported investment income for this period.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Related Parties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 number of business relationships with affiliated or related parties, including the following:</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entered into the Investment Advisory Agreement with Oxford Square Management. Oxford Square Management is controlled by Oxford Funds, its managing member. In addition to Oxford Funds, Oxford Square Management is owned by Charles M. Royce, a member of our Board, who holds a minority, non-controlling interest in Oxford Square Management as the non-managing member. Oxford Funds, as the managing member of Oxford Square Management, manages the business and internal affairs of Oxford Square Management. In addition, Oxford Funds provides us with office facilities and administrative services pursuant to the Administration Agreement.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also currently serve as Chief Executive Officer and President, respectively, at Oxford Gate Management, LLC (“Oxford Gate Management”), the investment adviser to Oxford Gate Master Fund, LLC, Oxford Gate, LLC and Oxford Gate (Bermuda), LLC (collectively, the “Oxford Gate Funds”). Oxford Funds is the managing member of Oxford Gate Management. In addition, Bruce L. Rubin serves as the Chief Financial Officer and Secretary, and Gerald Cummins serves as the Chief Compliance Officer, respectively, of Oxford Gate Management.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currently serve as Chief Executive Officer and President, respectively, of Oxford Lane Capital Corp., a non-diversified closed-end management investment company that invests primarily in equity and junior debt tranches of CLO vehicles, and its investment adviser, Oxford Lane Management, LLC (“Oxford Lane Management”). Oxford Funds provides Oxford Lane Capital Corp. with office facilities and administrative services pursuant to an administration agreement and also serves as the managing member of Oxford Lane Management. In addition, Bruce L. Rubin serves as the Chief Financial Officer, Treasurer and Corporate Secretary of Oxford Lane Capital Corp. and Chief Financial Officer and Treasurer of Oxford Lane Management, and Mr. Cummins serves as the Chief Compliance Officer of Oxford Lane Capital Corp. and Oxford Lane Management.</w:t>
      </w:r>
    </w:p>
    <w:p>
      <w:pPr>
        <w:pStyle w:val="TextBody"/>
        <w:keepNext w:val="false"/>
        <w:pageBreakBefore w:val="false"/>
        <w:widowControl/>
        <w:pBdr/>
        <w:bidi w:val="0"/>
        <w:spacing w:before="160" w:after="283"/>
        <w:ind w:left="96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Messrs. Cohen and Rosenthal currently serve as Chief Executive Officer and President, respectively, of Oxford Park Income Fund, Inc., a non-diversified closed-end management investment company that invests primarily in equity and junior debt tranches of CLO vehicles, and its investment adviser, Oxford Park Management, LLC (“Oxford Park Management”). Oxford Funds provides Oxford Park Income Fund, Inc. with office facilities and administrative services pursuant to an administration agreement and also serves as the managing member of Oxford Park Management. In addition, Bruce L. Rubin serves as the Chief Financial Officer, Treasurer and Corporate Secretary of Oxford Park Income Fund, Inc. and Chief Financial Officer and Treasurer of Oxford Park Management, and Mr. Cummins serves as the Chief Compliance Officer of Oxford Park Income Fund, Inc. and Oxford Park Management.</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certain conflicts of interest may arise with respect to the management of our portfolio by Messrs. Cohen and Rosenthal on the one hand, and the obligations of Messrs. Cohen and Rosenthal to manage Oxford Lane Capital Corp., Oxford Park Income Fund, Inc., and the Oxford Gate Funds, respectively, on the other hand.</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Management, Oxford Lane Management, Oxford Park Management and Oxford Gate Management are subject to a written policy with respect to the allocation of investment opportunities among the Company, Oxford Lane Capital Corp., Oxford Park Income Fund, Inc., and the Oxford Gate Funds. Where investments are suitable for more than one entity, the allocation policy generally provides that, depending on size and subject to current and anticipated cash availability, the absolute size of the investment as well as its relative size compared to the total assets of each entity, current and anticipated weighted average costs of capital, among other factors, an investment amount will be determined by the adviser to each entity.</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6, 2026, we received an updated form of co-investment exemptive relief from the SEC to allow certain managed funds and investment vehicles, each of whose investment adviser is Oxford Square Management or an investment adviser controlling, controlled by or under common control with Oxford Square Management, to participate in negotiated co-investment transactions where doing so is consistent with regulatory requirements and other pertinent factors, and pursuant to the conditions of the Co-Investment Order. The Co-Investment Order, which supersedes the co-investment order issued to us on June 14, 2017, is a new form of co-investment exemptive relief that adopts a more flexible requirement that allocations be “fair and equitable” to us and that Oxford Square Management considers the interests of us and other affiliated 1940 Act-regulated funds that rely on the Co-Investment Order in allocations and which minimizes certain board approval requirements as compared to the prior form of co-investment exemptive relief.</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Among other things, under the Co-Investment Order, the terms, conditions, price, class of securities to be purchased in respect of a particular investment, the date on which such investment is to be made and any registration rights applicable thereto, must be generally the same for us and each other participating affiliated entity. The requirements of the Co-Investment Order (including any requirements for board approval thereunder), as well as other regulatory requirements associated with us and other affiliated 1940 Act-regulated funds that rely on the Co-Investment Order, potentially will impact the investment allocations among participating entities (including, for the avoidance of doubt, us) or otherwise impact allocation results. Any changes to the Co-Investment Order or the rules and other guidance promulgated by the SEC and its staff under the 1940 Act could impact allocations made available to us and thereby affect (and potentially decrease) the allocation made to us or otherwise impact the process for allocations in transactions in which we participate.</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ordinary course of business, we may enter into transactions with portfolio companies that may be considered related party transactions. In order to ensure that we do not engage in any prohibited transactions with any persons affiliated with us, we have implemented certain policies and procedures whereby our executive officers screen each of our transactions for any possible affiliations between the proposed portfolio investment, 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companies controlled by us and our employees and directors. We will not enter into any agreements unless and until we are satisfied that doing so will not raise concerns under the 1940 Act or, if such concerns exist, we have taken appropriate actions to seek board review and approval or exemptive relief for such transaction. Our Board reviews these procedures on an annual basis.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adopted a Code of Business Conduct and Ethics which applies to our senior officers, including our Chief Executive Officer and Chief Financial Officer, as well as all of our officers, directors and employees. Our Code of Business Conduct and Ethics requires that all employees and directors avoid any conflict, or the appearance of a conflict, between an individual’s personal interests and our interests. Pursuant to our Code of Business Conduct and Ethics, each employee and director must disclose any conflicts of interest, or actions or relationships that might give rise to a conflict. Our Audit Committee is charged with approving any waivers under our Code of Business Conduct and Ethics. As required by the NASDAQ Global Select Market corporate governance listing standards, the Audit Committee of our Board is also required to review and approve any transactions with related parties (as such term is defined in Item 404 of Regulation S-K).</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Information concerning related party transactions is included in the financial statements and related notes, appearing elsewhere in this quarterly report on Form 10-Q.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 DEVELOPMENTS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declared the following distributions payable to stockholders as shown below:</w:t>
      </w:r>
    </w:p>
    <w:tbl>
      <w:tblPr>
        <w:tblW w:w="8842" w:type="dxa"/>
        <w:jc w:val="left"/>
        <w:tblInd w:w="0" w:type="dxa"/>
        <w:tblLayout w:type="fixed"/>
        <w:tblCellMar>
          <w:top w:w="0" w:type="dxa"/>
          <w:left w:w="0" w:type="dxa"/>
          <w:bottom w:w="0" w:type="dxa"/>
          <w:right w:w="0" w:type="dxa"/>
        </w:tblCellMar>
      </w:tblPr>
      <w:tblGrid>
        <w:gridCol w:w="1786"/>
        <w:gridCol w:w="146"/>
        <w:gridCol w:w="2026"/>
        <w:gridCol w:w="146"/>
        <w:gridCol w:w="2026"/>
        <w:gridCol w:w="146"/>
        <w:gridCol w:w="2566"/>
      </w:tblGrid>
      <w:tr>
        <w:tc>
          <w:tcPr>
            <w:tcW w:w="17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Date Declared</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Record Dates</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Payable Dates</w:t>
            </w:r>
          </w:p>
        </w:tc>
        <w:tc>
          <w:tcPr>
            <w:tcW w:w="146" w:type="dxa"/>
            <w:tcBorders/>
            <w:vAlign w:val="bottom"/>
          </w:tcPr>
          <w:p>
            <w:pPr>
              <w:pStyle w:val="TableContents"/>
              <w:bidi w:val="0"/>
              <w:spacing w:before="0" w:after="283"/>
              <w:jc w:val="left"/>
            </w:pPr>
            <w:r>
              <w:t> </w:t>
            </w:r>
          </w:p>
        </w:tc>
        <w:tc>
          <w:tcPr>
            <w:tcW w:w="25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Per Share Distribution </w:t>
              <w:br/>
              <w:t>Amount Declared</w:t>
            </w:r>
          </w:p>
        </w:tc>
      </w:tr>
      <w:tr>
        <w:tc>
          <w:tcPr>
            <w:tcW w:w="17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pPr>
            <w: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16, 2026</w:t>
            </w:r>
          </w:p>
        </w:tc>
        <w:tc>
          <w:tcPr>
            <w:tcW w:w="146" w:type="dxa"/>
            <w:tcBorders/>
            <w:shd w:fill="CCEEFF" w:val="clear"/>
            <w:vAlign w:val="bottom"/>
          </w:tcPr>
          <w:p>
            <w:pPr>
              <w:pStyle w:val="TableContents"/>
              <w:bidi w:val="0"/>
              <w:spacing w:before="0" w:after="283"/>
              <w:jc w:val="left"/>
            </w:pPr>
            <w: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30, 2026</w:t>
            </w:r>
          </w:p>
        </w:tc>
        <w:tc>
          <w:tcPr>
            <w:tcW w:w="146" w:type="dxa"/>
            <w:tcBorders/>
            <w:shd w:fill="CCEEFF" w:val="clear"/>
            <w:vAlign w:val="bottom"/>
          </w:tcPr>
          <w:p>
            <w:pPr>
              <w:pStyle w:val="TableContents"/>
              <w:bidi w:val="0"/>
              <w:spacing w:before="0" w:after="283"/>
              <w:jc w:val="left"/>
            </w:pPr>
            <w: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c>
          <w:tcPr>
            <w:tcW w:w="1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16, 2026</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November 30, 2026</w:t>
            </w:r>
          </w:p>
        </w:tc>
        <w:tc>
          <w:tcPr>
            <w:tcW w:w="146" w:type="dxa"/>
            <w:tcBorders/>
            <w:vAlign w:val="bottom"/>
          </w:tcPr>
          <w:p>
            <w:pPr>
              <w:pStyle w:val="TableContents"/>
              <w:bidi w:val="0"/>
              <w:spacing w:before="0" w:after="283"/>
              <w:jc w:val="left"/>
            </w:pPr>
            <w: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c>
          <w:tcPr>
            <w:tcW w:w="17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July 29, 2026</w:t>
            </w:r>
          </w:p>
        </w:tc>
        <w:tc>
          <w:tcPr>
            <w:tcW w:w="146" w:type="dxa"/>
            <w:tcBorders/>
            <w:shd w:fill="CCEEFF" w:val="clear"/>
            <w:vAlign w:val="bottom"/>
          </w:tcPr>
          <w:p>
            <w:pPr>
              <w:pStyle w:val="TableContents"/>
              <w:bidi w:val="0"/>
              <w:spacing w:before="0" w:after="283"/>
              <w:jc w:val="left"/>
            </w:pPr>
            <w: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17, 2026</w:t>
            </w:r>
          </w:p>
        </w:tc>
        <w:tc>
          <w:tcPr>
            <w:tcW w:w="146" w:type="dxa"/>
            <w:tcBorders/>
            <w:shd w:fill="CCEEFF" w:val="clear"/>
            <w:vAlign w:val="bottom"/>
          </w:tcPr>
          <w:p>
            <w:pPr>
              <w:pStyle w:val="TableContents"/>
              <w:bidi w:val="0"/>
              <w:spacing w:before="0" w:after="283"/>
              <w:jc w:val="left"/>
            </w:pPr>
            <w: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December 31, 2026</w:t>
            </w:r>
          </w:p>
        </w:tc>
        <w:tc>
          <w:tcPr>
            <w:tcW w:w="146" w:type="dxa"/>
            <w:tcBorders/>
            <w:shd w:fill="CCEEFF" w:val="clear"/>
            <w:vAlign w:val="bottom"/>
          </w:tcPr>
          <w:p>
            <w:pPr>
              <w:pStyle w:val="TableContents"/>
              <w:bidi w:val="0"/>
              <w:spacing w:before="0" w:after="283"/>
              <w:jc w:val="left"/>
            </w:pPr>
            <w: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$0.035</w:t>
            </w:r>
          </w:p>
        </w:tc>
      </w:tr>
      <w:tr>
        <w:tc>
          <w:tcPr>
            <w:tcW w:w="1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15, 2027</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29, 2027</w:t>
            </w:r>
          </w:p>
        </w:tc>
        <w:tc>
          <w:tcPr>
            <w:tcW w:w="146" w:type="dxa"/>
            <w:tcBorders/>
            <w:vAlign w:val="bottom"/>
          </w:tcPr>
          <w:p>
            <w:pPr>
              <w:pStyle w:val="TableContents"/>
              <w:bidi w:val="0"/>
              <w:spacing w:before="0" w:after="283"/>
              <w:jc w:val="left"/>
            </w:pPr>
            <w: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r>
      <w:tr>
        <w:tc>
          <w:tcPr>
            <w:tcW w:w="178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shd w:fill="CCEEFF" w:val="clear"/>
            <w:vAlign w:val="bottom"/>
          </w:tcPr>
          <w:p>
            <w:pPr>
              <w:pStyle w:val="TableContents"/>
              <w:bidi w:val="0"/>
              <w:spacing w:before="0" w:after="283"/>
              <w:jc w:val="left"/>
            </w:pPr>
            <w: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12, 2027</w:t>
            </w:r>
          </w:p>
        </w:tc>
        <w:tc>
          <w:tcPr>
            <w:tcW w:w="146" w:type="dxa"/>
            <w:tcBorders/>
            <w:shd w:fill="CCEEFF" w:val="clear"/>
            <w:vAlign w:val="bottom"/>
          </w:tcPr>
          <w:p>
            <w:pPr>
              <w:pStyle w:val="TableContents"/>
              <w:bidi w:val="0"/>
              <w:spacing w:before="0" w:after="283"/>
              <w:jc w:val="left"/>
            </w:pPr>
            <w:r>
              <w:t> </w:t>
            </w:r>
          </w:p>
        </w:tc>
        <w:tc>
          <w:tcPr>
            <w:tcW w:w="202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26, 2027</w:t>
            </w:r>
          </w:p>
        </w:tc>
        <w:tc>
          <w:tcPr>
            <w:tcW w:w="146" w:type="dxa"/>
            <w:tcBorders/>
            <w:shd w:fill="CCEEFF" w:val="clear"/>
            <w:vAlign w:val="bottom"/>
          </w:tcPr>
          <w:p>
            <w:pPr>
              <w:pStyle w:val="TableContents"/>
              <w:bidi w:val="0"/>
              <w:spacing w:before="0" w:after="283"/>
              <w:jc w:val="left"/>
            </w:pPr>
            <w:r>
              <w:t> </w:t>
            </w:r>
          </w:p>
        </w:tc>
        <w:tc>
          <w:tcPr>
            <w:tcW w:w="256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r>
      <w:tr>
        <w:tc>
          <w:tcPr>
            <w:tcW w:w="178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28, 2026</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17, 2027</w:t>
            </w:r>
          </w:p>
        </w:tc>
        <w:tc>
          <w:tcPr>
            <w:tcW w:w="146" w:type="dxa"/>
            <w:tcBorders/>
            <w:vAlign w:val="bottom"/>
          </w:tcPr>
          <w:p>
            <w:pPr>
              <w:pStyle w:val="TableContents"/>
              <w:bidi w:val="0"/>
              <w:spacing w:before="0" w:after="283"/>
              <w:jc w:val="left"/>
            </w:pPr>
            <w:r>
              <w:t> </w:t>
            </w:r>
          </w:p>
        </w:tc>
        <w:tc>
          <w:tcPr>
            <w:tcW w:w="202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31, 2027</w:t>
            </w:r>
          </w:p>
        </w:tc>
        <w:tc>
          <w:tcPr>
            <w:tcW w:w="146" w:type="dxa"/>
            <w:tcBorders/>
            <w:vAlign w:val="bottom"/>
          </w:tcPr>
          <w:p>
            <w:pPr>
              <w:pStyle w:val="TableContents"/>
              <w:bidi w:val="0"/>
              <w:spacing w:before="0" w:after="283"/>
              <w:jc w:val="left"/>
            </w:pPr>
            <w:r>
              <w:t> </w:t>
            </w:r>
          </w:p>
        </w:tc>
        <w:tc>
          <w:tcPr>
            <w:tcW w:w="25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$0.015</w:t>
            </w:r>
          </w:p>
        </w:tc>
      </w:tr>
    </w:tbl>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14, 2026, we notified the trustee of our election to redeem $15.0 million in aggregate principal amount of our 5.50% Unsecured Notes. We completed the redemption on October 14, 2026, at a price equal to 100% of the principal amount redeemed, plus accrued and unpaid interest to, but excluding, the redemption date. Following the redemption, $65.5 million in aggregate principal amount of the 5.50% Unsecured Notes remained outstanding. Refer to “Note 16. Subsequent Events” in the notes to our financial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28, 2026, we adopted our Fifth Amended and Restated Bylaws to amend Section 11 to establish minimum ownership and holding-period requirements for stockholders seeking to propose business, other than nominations of individuals for election to the Board of Directors, at an annual meeting of stockholders, as well as stockholders seeking to nominate directors for election at special meetings of stockholders. Under Section 11, as amended, stockholders of record proposing such business must, individually or in the aggregate, have continuously held shares entitled to vote on the proposal having a market value of at least $1,000,000 or representing at least 3% of such shares entitled to vote on the proposal, in either case for at least six months before the date of the annual meeting. Such stockholders must also continuously hold those shares from the date of their notice of the proposed business through the annual meeting, including any adjournment or postponement thereof.</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1" w:name="T99511"/>
      <w:bookmarkEnd w:id="11"/>
      <w:r>
        <w:rPr>
          <w:rFonts w:ascii="Times New Roman PS Std;serif" w:hAnsi="Times New Roman PS Std;serif"/>
          <w:b/>
          <w:i w:val="false"/>
          <w:caps w:val="false"/>
          <w:smallCaps w:val="false"/>
          <w:sz w:val="20"/>
        </w:rPr>
        <w:t xml:space="preserve">ITEM 3.   QUANTITATIVE AND QUALITATIVE DISCLOSURES ABOUT MARKET RISK.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subject to financial market risks, including changes in interest rates. As of September 30, 2026, all of our variable rate investments were income producing. The variable rates are generally based upon the five-year U.S. Department of Treasury note, the Prime rate, or SOFR, and, in the case of our bilateral investments, are generally reset annually, whereas our non-bilateral investments generally reset quarterly. We expect that future debt investments will generally be made at variable rates. Many of the variable rate investments contain interest rate floors.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rate risk is defined as the sensitivity of our current and future earnings to interest rate volatility, including relative changes in different interest rates,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leveraged loans, high yield bonds and other debt investments and the value of our investment portfolio.</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 the future hedge against interest rate fluctuations by using standard hedging instruments such as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Statements of Assets and Liabilities as of September 30, 2026, the following table shows the annualized impact on investment income of hypothetical base rate changes in interest rates for our settled investments (considering interest rate floors for floating rate instruments), excluding CLO equity investments. The base interest rate case assumes the rates on our portfolio investments remain unchanged from the actual effective interest rates as of September 30, 2026. These hypothetical calculations are based on a model of the investments in our portfolio, held as of September 30, 2026, and are only adjusted for assumed changes in the underlying base interest rates. Although management believes that this analysis is indicative of our existing interest rate sensitivity, it does not adjust for changes in the credit quality, size and composition of our portfolio, and other business developments, including a change in the level of our borrowings, that could affect the net increase (or decrease) in net assets resulting from operations. Accordingly, no assurances can be given that actual results would not differ materially from the results under this hypothetical analysis.</w:t>
      </w:r>
    </w:p>
    <w:tbl>
      <w:tblPr>
        <w:tblW w:w="5337" w:type="dxa"/>
        <w:jc w:val="left"/>
        <w:tblInd w:w="0" w:type="dxa"/>
        <w:tblLayout w:type="fixed"/>
        <w:tblCellMar>
          <w:top w:w="0" w:type="dxa"/>
          <w:left w:w="0" w:type="dxa"/>
          <w:bottom w:w="0" w:type="dxa"/>
          <w:right w:w="0" w:type="dxa"/>
        </w:tblCellMar>
      </w:tblPr>
      <w:tblGrid>
        <w:gridCol w:w="3751"/>
        <w:gridCol w:w="146"/>
        <w:gridCol w:w="904"/>
        <w:gridCol w:w="536"/>
      </w:tblGrid>
      <w:tr>
        <w:tc>
          <w:tcPr>
            <w:tcW w:w="375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Hypothetical Change in Base Rates</w:t>
            </w:r>
          </w:p>
        </w:tc>
        <w:tc>
          <w:tcPr>
            <w:tcW w:w="146" w:type="dxa"/>
            <w:tcBorders/>
            <w:vAlign w:val="bottom"/>
          </w:tcPr>
          <w:p>
            <w:pPr>
              <w:pStyle w:val="TableContents"/>
              <w:bidi w:val="0"/>
              <w:spacing w:before="0" w:after="283"/>
              <w:jc w:val="left"/>
            </w:pPr>
            <w:r>
              <w:t> </w:t>
            </w:r>
          </w:p>
        </w:tc>
        <w:tc>
          <w:tcPr>
            <w:tcW w:w="144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Estimated </w:t>
              <w:br/>
              <w:t xml:space="preserve">Percentage </w:t>
              <w:br/>
              <w:t xml:space="preserve">Change in </w:t>
              <w:br/>
              <w:t xml:space="preserve">Investment </w:t>
              <w:br/>
              <w:t>Income</w:t>
            </w:r>
          </w:p>
        </w:tc>
      </w:tr>
      <w:t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300 basis points</w:t>
            </w:r>
          </w:p>
        </w:tc>
        <w:tc>
          <w:tcPr>
            <w:tcW w:w="146" w:type="dxa"/>
            <w:tcBorders/>
            <w:shd w:fill="CCEEFF" w:val="clear"/>
            <w:vAlign w:val="bottom"/>
          </w:tcPr>
          <w:p>
            <w:pPr>
              <w:pStyle w:val="TableContents"/>
              <w:bidi w:val="0"/>
              <w:spacing w:before="0" w:after="283"/>
              <w:jc w:val="left"/>
            </w:pPr>
            <w: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200 basis points</w:t>
            </w:r>
          </w:p>
        </w:tc>
        <w:tc>
          <w:tcPr>
            <w:tcW w:w="146" w:type="dxa"/>
            <w:tcBorders/>
            <w:vAlign w:val="bottom"/>
          </w:tcPr>
          <w:p>
            <w:pPr>
              <w:pStyle w:val="TableContents"/>
              <w:bidi w:val="0"/>
              <w:spacing w:before="0" w:after="283"/>
              <w:jc w:val="left"/>
            </w:pPr>
            <w: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9.4</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 100 basis points</w:t>
            </w:r>
          </w:p>
        </w:tc>
        <w:tc>
          <w:tcPr>
            <w:tcW w:w="146" w:type="dxa"/>
            <w:tcBorders/>
            <w:shd w:fill="CCEEFF" w:val="clear"/>
            <w:vAlign w:val="bottom"/>
          </w:tcPr>
          <w:p>
            <w:pPr>
              <w:pStyle w:val="TableContents"/>
              <w:bidi w:val="0"/>
              <w:spacing w:before="0" w:after="283"/>
              <w:jc w:val="left"/>
            </w:pPr>
            <w: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100 basis points</w:t>
            </w:r>
          </w:p>
        </w:tc>
        <w:tc>
          <w:tcPr>
            <w:tcW w:w="146" w:type="dxa"/>
            <w:tcBorders/>
            <w:vAlign w:val="bottom"/>
          </w:tcPr>
          <w:p>
            <w:pPr>
              <w:pStyle w:val="TableContents"/>
              <w:bidi w:val="0"/>
              <w:spacing w:before="0" w:after="283"/>
              <w:jc w:val="left"/>
            </w:pPr>
            <w: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375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200 basis points</w:t>
            </w:r>
          </w:p>
        </w:tc>
        <w:tc>
          <w:tcPr>
            <w:tcW w:w="146" w:type="dxa"/>
            <w:tcBorders/>
            <w:shd w:fill="CCEEFF" w:val="clear"/>
            <w:vAlign w:val="bottom"/>
          </w:tcPr>
          <w:p>
            <w:pPr>
              <w:pStyle w:val="TableContents"/>
              <w:bidi w:val="0"/>
              <w:spacing w:before="0" w:after="283"/>
              <w:jc w:val="left"/>
            </w:pPr>
            <w:r>
              <w:t> </w:t>
            </w:r>
          </w:p>
        </w:tc>
        <w:tc>
          <w:tcPr>
            <w:tcW w:w="9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53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c>
          <w:tcPr>
            <w:tcW w:w="375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Down 300 basis points</w:t>
            </w:r>
          </w:p>
        </w:tc>
        <w:tc>
          <w:tcPr>
            <w:tcW w:w="146" w:type="dxa"/>
            <w:tcBorders/>
            <w:vAlign w:val="bottom"/>
          </w:tcPr>
          <w:p>
            <w:pPr>
              <w:pStyle w:val="TableContents"/>
              <w:bidi w:val="0"/>
              <w:spacing w:before="0" w:after="283"/>
              <w:jc w:val="left"/>
            </w:pPr>
            <w:r>
              <w:t> </w:t>
            </w:r>
          </w:p>
        </w:tc>
        <w:tc>
          <w:tcPr>
            <w:tcW w:w="9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w:t>
            </w:r>
          </w:p>
        </w:tc>
        <w:tc>
          <w:tcPr>
            <w:tcW w:w="5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2" w:name="T99512"/>
      <w:bookmarkEnd w:id="12"/>
      <w:r>
        <w:rPr>
          <w:rFonts w:ascii="Times New Roman PS Std;serif" w:hAnsi="Times New Roman PS Std;serif"/>
          <w:b/>
          <w:i w:val="false"/>
          <w:caps w:val="false"/>
          <w:smallCaps w:val="false"/>
          <w:sz w:val="20"/>
        </w:rPr>
        <w:t xml:space="preserve">ITEM 4.   CONTROLS AND PROCEDURES. </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 Evaluation of Disclosure Controls and Procedures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September 30, 2026 (the end of the period covered by this report), we, including our Chief Executive Officer and Chief Financial Officer, evaluated the effectiveness of the design and operation of our disclosure controls and procedures (as defined in Rule 13a-15(e) and 15d-15(e)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pStyle w:val="TextBody"/>
        <w:keepNext w:val="true"/>
        <w:pageBreakBefore w:val="false"/>
        <w:widowControl/>
        <w:pBdr/>
        <w:bidi w:val="0"/>
        <w:spacing w:before="24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 Changes in Internal Control Over Financial Reporting</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have been no changes in the Company’s internal control over financial reporting (as defined in Rule 13a-15(f) and 15d-15(f) under the Securities Exchange Act of 1934, as amended) that occurred during the quarter ended September 30, 2026, that have materially affected, or are reasonably likely to materially affect, the Company’s internal control over financial reporting.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13" w:name="T99513"/>
      <w:bookmarkEnd w:id="13"/>
      <w:r>
        <w:rPr>
          <w:rFonts w:ascii="Times New Roman PS Std;serif" w:hAnsi="Times New Roman PS Std;serif"/>
          <w:b/>
          <w:i w:val="false"/>
          <w:caps w:val="false"/>
          <w:smallCaps w:val="false"/>
          <w:sz w:val="20"/>
        </w:rPr>
        <w:t xml:space="preserve">PART II — OTHER INFORMATION </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4" w:name="T99514"/>
      <w:bookmarkEnd w:id="14"/>
      <w:r>
        <w:rPr>
          <w:rFonts w:ascii="Times New Roman PS Std;serif" w:hAnsi="Times New Roman PS Std;serif"/>
          <w:b/>
          <w:i w:val="false"/>
          <w:caps w:val="false"/>
          <w:smallCaps w:val="false"/>
          <w:sz w:val="20"/>
        </w:rPr>
        <w:t xml:space="preserve">ITEM 1.   LEGAL PROCEEDINGS.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not currently subject to any material legal proceedings. From time to time, we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5" w:name="T99515"/>
      <w:bookmarkEnd w:id="15"/>
      <w:r>
        <w:rPr>
          <w:rFonts w:ascii="Times New Roman PS Std;serif" w:hAnsi="Times New Roman PS Std;serif"/>
          <w:b/>
          <w:i w:val="false"/>
          <w:caps w:val="false"/>
          <w:smallCaps w:val="false"/>
          <w:sz w:val="20"/>
        </w:rPr>
        <w:t xml:space="preserve">ITEM 1A. RISK FACTORS.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other information set forth in this report, you should carefully consider the risk factors discussed in “Item 1A. Risk Factors” in our Annual Report on Form 10-K for the fiscal year ended December 31, 2025. The risks described in our Annual Report on Form 10-K are not the only risks facing us. Additional risks and uncertainties not currently known to us or that we currently deem to be immaterial also may materially and adversely affect our business, financial condition and/or operating results. There have been no material changes known to us during the nine months ended September 30, 2026, to the risk factors discussed in Item 1A. Risk Factors in our Annual Report on Form 10-K for the year ended December 31, 2025.</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6" w:name="T99516"/>
      <w:bookmarkEnd w:id="16"/>
      <w:r>
        <w:rPr>
          <w:rFonts w:ascii="Times New Roman PS Std;serif" w:hAnsi="Times New Roman PS Std;serif"/>
          <w:b/>
          <w:i w:val="false"/>
          <w:caps w:val="false"/>
          <w:smallCaps w:val="false"/>
          <w:sz w:val="20"/>
        </w:rPr>
        <w:t xml:space="preserve">ITEM 2.   UNREGISTERED SALES OF EQUITY SECURITIES AND USE OF PROCEEDS. </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Sales of Unregistered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we did not engage in unregistered sales of equity securities during the three months ended September 30, 2026, we issued 913,061 shares of common stock under our distribution reinvestment plan. This issuance was not subject to the registration requirements of the Securities Act of 1933, as amended. The aggregate value for the shares of common stock issued under the distribution reinvestment plan during the three months ended September 30, 2026 was approximately $1.1 million.</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Issuer Purchases of Equity Securities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three months ended September 30, 2026, no common stock was repurchased by the Company.</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7" w:name="T99517"/>
      <w:bookmarkEnd w:id="17"/>
      <w:r>
        <w:rPr>
          <w:rFonts w:ascii="Times New Roman PS Std;serif" w:hAnsi="Times New Roman PS Std;serif"/>
          <w:b/>
          <w:i w:val="false"/>
          <w:caps w:val="false"/>
          <w:smallCaps w:val="false"/>
          <w:sz w:val="20"/>
        </w:rPr>
        <w:t xml:space="preserve">ITEM 3.   DEFAULTS UPON SENIOR SECURITIES.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8" w:name="T99518"/>
      <w:bookmarkEnd w:id="18"/>
      <w:r>
        <w:rPr>
          <w:rFonts w:ascii="Times New Roman PS Std;serif" w:hAnsi="Times New Roman PS Std;serif"/>
          <w:b/>
          <w:i w:val="false"/>
          <w:caps w:val="false"/>
          <w:smallCaps w:val="false"/>
          <w:sz w:val="20"/>
        </w:rPr>
        <w:t xml:space="preserve">ITEM 4.   MINE SAFETY DISCLOSURES.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 applicable.</w:t>
      </w:r>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19" w:name="T99519"/>
      <w:bookmarkEnd w:id="19"/>
      <w:r>
        <w:rPr>
          <w:rFonts w:ascii="Times New Roman PS Std;serif" w:hAnsi="Times New Roman PS Std;serif"/>
          <w:b/>
          <w:i w:val="false"/>
          <w:caps w:val="false"/>
          <w:smallCaps w:val="false"/>
          <w:sz w:val="20"/>
        </w:rPr>
        <w:t xml:space="preserve">ITEM 5.   OTHER INFORMATION. </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Rule 10b5-1 Trading Plans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quarter ended September 30, 2026, none of our directors or officers adopted or terminated any contract, instruction or written plan for the purchase or sale of our securities to satisfy the affirmative defense conditions of Exchange Act Rule 10b5-1(c) or any “non-Rule 10b5-1” trading arrangement.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920" w:right="0" w:hanging="920"/>
        <w:jc w:val="left"/>
        <w:rPr>
          <w:rFonts w:ascii="Times New Roman PS Std;serif" w:hAnsi="Times New Roman PS Std;serif"/>
          <w:b/>
          <w:i w:val="false"/>
          <w:caps w:val="false"/>
          <w:smallCaps w:val="false"/>
          <w:sz w:val="20"/>
        </w:rPr>
      </w:pPr>
      <w:bookmarkStart w:id="20" w:name="T99520"/>
      <w:bookmarkEnd w:id="20"/>
      <w:r>
        <w:rPr>
          <w:rFonts w:ascii="Times New Roman PS Std;serif" w:hAnsi="Times New Roman PS Std;serif"/>
          <w:b/>
          <w:i w:val="false"/>
          <w:caps w:val="false"/>
          <w:smallCaps w:val="false"/>
          <w:sz w:val="20"/>
        </w:rPr>
        <w:t xml:space="preserve">ITEM 6.   EXHIBITS.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exhibits are filed as part of this report or hereby incorporated by reference to exhibits previously filed with the SEC:</w:t>
      </w:r>
    </w:p>
    <w:tbl>
      <w:tblPr>
        <w:tblW w:w="10205" w:type="dxa"/>
        <w:jc w:val="left"/>
        <w:tblInd w:w="0" w:type="dxa"/>
        <w:tblLayout w:type="fixed"/>
        <w:tblCellMar>
          <w:top w:w="0" w:type="dxa"/>
          <w:left w:w="0" w:type="dxa"/>
          <w:bottom w:w="0" w:type="dxa"/>
          <w:right w:w="0" w:type="dxa"/>
        </w:tblCellMar>
      </w:tblPr>
      <w:tblGrid>
        <w:gridCol w:w="440"/>
        <w:gridCol w:w="146"/>
        <w:gridCol w:w="9619"/>
      </w:tblGrid>
      <w:tr>
        <w:tc>
          <w:tcPr>
            <w:tcW w:w="440"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c>
          <w:tcPr>
            <w:tcW w:w="146" w:type="dxa"/>
            <w:tcBorders/>
            <w:shd w:fill="CCEEFF" w:val="clear"/>
          </w:tcPr>
          <w:p>
            <w:pPr>
              <w:pStyle w:val="TableContents"/>
              <w:bidi w:val="0"/>
              <w:spacing w:before="0" w:after="283"/>
              <w:jc w:val="left"/>
            </w:pPr>
            <w:r>
              <w:t> </w:t>
            </w:r>
          </w:p>
        </w:tc>
        <w:tc>
          <w:tcPr>
            <w:tcW w:w="9619" w:type="dxa"/>
            <w:tcBorders/>
            <w:shd w:fill="CCEEFF" w:val="clear"/>
          </w:tcPr>
          <w:p>
            <w:pPr>
              <w:pStyle w:val="TableContents"/>
              <w:keepNext w:val="false"/>
              <w:widowControl/>
              <w:pBdr/>
              <w:bidi w:val="0"/>
              <w:spacing w:before="0" w:after="283"/>
              <w:jc w:val="left"/>
            </w:pPr>
            <w:hyperlink r:id="rId2">
              <w:r>
                <w:rPr>
                  <w:rStyle w:val="InternetLink"/>
                  <w:rFonts w:ascii="Times New Roman PS Std;serif" w:hAnsi="Times New Roman PS Std;serif"/>
                  <w:b w:val="false"/>
                  <w:i w:val="false"/>
                  <w:caps w:val="false"/>
                  <w:smallCaps w:val="false"/>
                  <w:sz w:val="20"/>
                </w:rPr>
                <w:t>Articles of Incorporation (Incorporated by reference to Exhibit a. to the Registrant’s Registration Statement on Form N-2 (File No. 333-109055), filed on September 23, 2003).</w:t>
              </w:r>
            </w:hyperlink>
          </w:p>
        </w:tc>
      </w:tr>
      <w:tr>
        <w:tc>
          <w:tcPr>
            <w:tcW w:w="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c>
          <w:tcPr>
            <w:tcW w:w="146" w:type="dxa"/>
            <w:tcBorders/>
          </w:tcPr>
          <w:p>
            <w:pPr>
              <w:pStyle w:val="TableContents"/>
              <w:bidi w:val="0"/>
              <w:spacing w:before="0" w:after="283"/>
              <w:jc w:val="left"/>
            </w:pPr>
            <w:r>
              <w:t> </w:t>
            </w:r>
          </w:p>
        </w:tc>
        <w:tc>
          <w:tcPr>
            <w:tcW w:w="9619" w:type="dxa"/>
            <w:tcBorders/>
          </w:tcPr>
          <w:p>
            <w:pPr>
              <w:pStyle w:val="TableContents"/>
              <w:keepNext w:val="false"/>
              <w:widowControl/>
              <w:pBdr/>
              <w:bidi w:val="0"/>
              <w:spacing w:before="0" w:after="283"/>
              <w:jc w:val="left"/>
            </w:pPr>
            <w:hyperlink r:id="rId3">
              <w:r>
                <w:rPr>
                  <w:rStyle w:val="InternetLink"/>
                  <w:rFonts w:ascii="Times New Roman PS Std;serif" w:hAnsi="Times New Roman PS Std;serif"/>
                  <w:b w:val="false"/>
                  <w:i w:val="false"/>
                  <w:caps w:val="false"/>
                  <w:smallCaps w:val="false"/>
                  <w:sz w:val="20"/>
                </w:rPr>
                <w:t>Articles of Amendment (Incorporated by reference to Exhibit 3.1 to the Registrant’s current report on Form 8-K filed December 3, 2007).</w:t>
              </w:r>
            </w:hyperlink>
          </w:p>
        </w:tc>
      </w:tr>
      <w:tr>
        <w:tc>
          <w:tcPr>
            <w:tcW w:w="440"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c>
          <w:tcPr>
            <w:tcW w:w="146" w:type="dxa"/>
            <w:tcBorders/>
            <w:shd w:fill="CCEEFF" w:val="clear"/>
          </w:tcPr>
          <w:p>
            <w:pPr>
              <w:pStyle w:val="TableContents"/>
              <w:bidi w:val="0"/>
              <w:spacing w:before="0" w:after="283"/>
              <w:jc w:val="left"/>
            </w:pPr>
            <w:r>
              <w:t> </w:t>
            </w:r>
          </w:p>
        </w:tc>
        <w:tc>
          <w:tcPr>
            <w:tcW w:w="9619" w:type="dxa"/>
            <w:tcBorders/>
            <w:shd w:fill="CCEEFF" w:val="clear"/>
          </w:tcPr>
          <w:p>
            <w:pPr>
              <w:pStyle w:val="TableContents"/>
              <w:keepNext w:val="false"/>
              <w:widowControl/>
              <w:pBdr/>
              <w:bidi w:val="0"/>
              <w:spacing w:before="0" w:after="283"/>
              <w:jc w:val="left"/>
            </w:pPr>
            <w:hyperlink r:id="rId4">
              <w:r>
                <w:rPr>
                  <w:rStyle w:val="InternetLink"/>
                  <w:rFonts w:ascii="Times New Roman PS Std;serif" w:hAnsi="Times New Roman PS Std;serif"/>
                  <w:b w:val="false"/>
                  <w:i w:val="false"/>
                  <w:caps w:val="false"/>
                  <w:smallCaps w:val="false"/>
                  <w:sz w:val="20"/>
                </w:rPr>
                <w:t>Articles of Amendment (Incorporated by reference to Exhibit 3.1 to the Registrant’s current report on Form 8-K filed March 20, 2018).</w:t>
              </w:r>
            </w:hyperlink>
          </w:p>
        </w:tc>
      </w:tr>
      <w:tr>
        <w:tc>
          <w:tcPr>
            <w:tcW w:w="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c>
          <w:tcPr>
            <w:tcW w:w="146" w:type="dxa"/>
            <w:tcBorders/>
          </w:tcPr>
          <w:p>
            <w:pPr>
              <w:pStyle w:val="TableContents"/>
              <w:bidi w:val="0"/>
              <w:spacing w:before="0" w:after="283"/>
              <w:jc w:val="left"/>
            </w:pPr>
            <w:r>
              <w:t> </w:t>
            </w:r>
          </w:p>
        </w:tc>
        <w:tc>
          <w:tcPr>
            <w:tcW w:w="9619" w:type="dxa"/>
            <w:tcBorders/>
          </w:tcPr>
          <w:p>
            <w:pPr>
              <w:pStyle w:val="TableContents"/>
              <w:keepNext w:val="false"/>
              <w:widowControl/>
              <w:pBdr/>
              <w:bidi w:val="0"/>
              <w:spacing w:before="0" w:after="283"/>
              <w:jc w:val="left"/>
            </w:pPr>
            <w:hyperlink r:id="rId5">
              <w:r>
                <w:rPr>
                  <w:rStyle w:val="InternetLink"/>
                  <w:rFonts w:ascii="Times New Roman PS Std;serif" w:hAnsi="Times New Roman PS Std;serif"/>
                  <w:b w:val="false"/>
                  <w:i w:val="false"/>
                  <w:caps w:val="false"/>
                  <w:smallCaps w:val="false"/>
                  <w:sz w:val="20"/>
                </w:rPr>
                <w:t>Articles of Amendment (Incorporated by reference to Exhibit 3.2 to the Registrant’s current report on Form 8-K filed March 20, 2018).</w:t>
              </w:r>
            </w:hyperlink>
          </w:p>
        </w:tc>
      </w:tr>
      <w:tr>
        <w:tc>
          <w:tcPr>
            <w:tcW w:w="440"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c>
          <w:tcPr>
            <w:tcW w:w="146" w:type="dxa"/>
            <w:tcBorders/>
            <w:shd w:fill="CCEEFF" w:val="clear"/>
          </w:tcPr>
          <w:p>
            <w:pPr>
              <w:pStyle w:val="TableContents"/>
              <w:bidi w:val="0"/>
              <w:spacing w:before="0" w:after="283"/>
              <w:jc w:val="left"/>
            </w:pPr>
            <w:r>
              <w:t> </w:t>
            </w:r>
          </w:p>
        </w:tc>
        <w:tc>
          <w:tcPr>
            <w:tcW w:w="9619" w:type="dxa"/>
            <w:tcBorders/>
            <w:shd w:fill="CCEEFF" w:val="clear"/>
          </w:tcPr>
          <w:p>
            <w:pPr>
              <w:pStyle w:val="TableContents"/>
              <w:keepNext w:val="false"/>
              <w:widowControl/>
              <w:pBdr/>
              <w:bidi w:val="0"/>
              <w:spacing w:before="0" w:after="283"/>
              <w:jc w:val="left"/>
            </w:pPr>
            <w:hyperlink r:id="rId6">
              <w:r>
                <w:rPr>
                  <w:rStyle w:val="InternetLink"/>
                  <w:rFonts w:ascii="Times New Roman PS Std;serif" w:hAnsi="Times New Roman PS Std;serif"/>
                  <w:b w:val="false"/>
                  <w:i w:val="false"/>
                  <w:caps w:val="false"/>
                  <w:smallCaps w:val="false"/>
                  <w:sz w:val="20"/>
                </w:rPr>
                <w:t>Articles of Amendment, dated May 8, 2026 (Incorporated by reference to Exhibit 3.1 to the Registrant’s current report on Form 8-K filed on May 8, 2026).</w:t>
              </w:r>
            </w:hyperlink>
          </w:p>
        </w:tc>
      </w:tr>
      <w:tr>
        <w:tc>
          <w:tcPr>
            <w:tcW w:w="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w:t>
            </w:r>
          </w:p>
        </w:tc>
        <w:tc>
          <w:tcPr>
            <w:tcW w:w="146" w:type="dxa"/>
            <w:tcBorders/>
          </w:tcPr>
          <w:p>
            <w:pPr>
              <w:pStyle w:val="TableContents"/>
              <w:bidi w:val="0"/>
              <w:spacing w:before="0" w:after="283"/>
              <w:jc w:val="left"/>
            </w:pPr>
            <w:r>
              <w:t> </w:t>
            </w:r>
          </w:p>
        </w:tc>
        <w:tc>
          <w:tcPr>
            <w:tcW w:w="9619" w:type="dxa"/>
            <w:tcBorders/>
          </w:tcPr>
          <w:p>
            <w:pPr>
              <w:pStyle w:val="TableContents"/>
              <w:keepNext w:val="false"/>
              <w:widowControl/>
              <w:pBdr/>
              <w:bidi w:val="0"/>
              <w:spacing w:before="0" w:after="283"/>
              <w:jc w:val="left"/>
            </w:pPr>
            <w:hyperlink r:id="rId7">
              <w:r>
                <w:rPr>
                  <w:rStyle w:val="InternetLink"/>
                  <w:rFonts w:ascii="Times New Roman PS Std;serif" w:hAnsi="Times New Roman PS Std;serif"/>
                  <w:b w:val="false"/>
                  <w:i w:val="false"/>
                  <w:caps w:val="false"/>
                  <w:smallCaps w:val="false"/>
                  <w:sz w:val="20"/>
                </w:rPr>
                <w:t>Fifth Amended and Restated Bylaws (Incorporated by reference to Exhibit 3.1 to the Registrant’s current report on Form 8-K filed on October 30, 2026).</w:t>
              </w:r>
            </w:hyperlink>
          </w:p>
        </w:tc>
      </w:tr>
      <w:tr>
        <w:tc>
          <w:tcPr>
            <w:tcW w:w="440"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w:t>
            </w:r>
          </w:p>
        </w:tc>
        <w:tc>
          <w:tcPr>
            <w:tcW w:w="146" w:type="dxa"/>
            <w:tcBorders/>
            <w:shd w:fill="CCEEFF" w:val="clear"/>
          </w:tcPr>
          <w:p>
            <w:pPr>
              <w:pStyle w:val="TableContents"/>
              <w:bidi w:val="0"/>
              <w:spacing w:before="0" w:after="283"/>
              <w:jc w:val="left"/>
            </w:pPr>
            <w:r>
              <w:t> </w:t>
            </w:r>
          </w:p>
        </w:tc>
        <w:tc>
          <w:tcPr>
            <w:tcW w:w="9619" w:type="dxa"/>
            <w:tcBorders/>
            <w:shd w:fill="CCEEFF" w:val="clear"/>
          </w:tcPr>
          <w:p>
            <w:pPr>
              <w:pStyle w:val="TableContents"/>
              <w:keepNext w:val="false"/>
              <w:widowControl/>
              <w:pBdr/>
              <w:bidi w:val="0"/>
              <w:spacing w:before="0" w:after="283"/>
              <w:jc w:val="left"/>
            </w:pPr>
            <w:hyperlink w:anchor="ea0309227-01_ex311.htm">
              <w:r>
                <w:rPr>
                  <w:rStyle w:val="InternetLink"/>
                  <w:rFonts w:ascii="Times New Roman PS Std;serif" w:hAnsi="Times New Roman PS Std;serif"/>
                  <w:b w:val="false"/>
                  <w:i w:val="false"/>
                  <w:caps w:val="false"/>
                  <w:smallCaps w:val="false"/>
                  <w:sz w:val="20"/>
                </w:rPr>
                <w:t>Certification of Chief Executive Officer pursuant to Rule 13a-14 of the Securities Exchange Act of 1934, as amended.*</w:t>
              </w:r>
            </w:hyperlink>
          </w:p>
        </w:tc>
      </w:tr>
      <w:tr>
        <w:tc>
          <w:tcPr>
            <w:tcW w:w="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31.2</w:t>
            </w:r>
          </w:p>
        </w:tc>
        <w:tc>
          <w:tcPr>
            <w:tcW w:w="146" w:type="dxa"/>
            <w:tcBorders/>
          </w:tcPr>
          <w:p>
            <w:pPr>
              <w:pStyle w:val="TableContents"/>
              <w:bidi w:val="0"/>
              <w:spacing w:before="0" w:after="283"/>
              <w:jc w:val="left"/>
            </w:pPr>
            <w:r>
              <w:t> </w:t>
            </w:r>
          </w:p>
        </w:tc>
        <w:tc>
          <w:tcPr>
            <w:tcW w:w="9619" w:type="dxa"/>
            <w:tcBorders/>
          </w:tcPr>
          <w:p>
            <w:pPr>
              <w:pStyle w:val="TableContents"/>
              <w:keepNext w:val="false"/>
              <w:widowControl/>
              <w:pBdr/>
              <w:bidi w:val="0"/>
              <w:spacing w:before="0" w:after="283"/>
              <w:jc w:val="left"/>
            </w:pPr>
            <w:hyperlink w:anchor="ea0309227-01_ex312.htm">
              <w:r>
                <w:rPr>
                  <w:rStyle w:val="InternetLink"/>
                  <w:rFonts w:ascii="Times New Roman PS Std;serif" w:hAnsi="Times New Roman PS Std;serif"/>
                  <w:b w:val="false"/>
                  <w:i w:val="false"/>
                  <w:caps w:val="false"/>
                  <w:smallCaps w:val="false"/>
                  <w:sz w:val="20"/>
                </w:rPr>
                <w:t>Certification of Chief Financial Officer pursuant to Rule 13a-14 of the Securities Exchange Act of 1934, as amended.*</w:t>
              </w:r>
            </w:hyperlink>
          </w:p>
        </w:tc>
      </w:tr>
      <w:tr>
        <w:tc>
          <w:tcPr>
            <w:tcW w:w="440"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32.1</w:t>
            </w:r>
          </w:p>
        </w:tc>
        <w:tc>
          <w:tcPr>
            <w:tcW w:w="146" w:type="dxa"/>
            <w:tcBorders/>
            <w:shd w:fill="CCEEFF" w:val="clear"/>
          </w:tcPr>
          <w:p>
            <w:pPr>
              <w:pStyle w:val="TableContents"/>
              <w:bidi w:val="0"/>
              <w:spacing w:before="0" w:after="283"/>
              <w:jc w:val="left"/>
            </w:pPr>
            <w:r>
              <w:t> </w:t>
            </w:r>
          </w:p>
        </w:tc>
        <w:tc>
          <w:tcPr>
            <w:tcW w:w="9619" w:type="dxa"/>
            <w:tcBorders/>
            <w:shd w:fill="CCEEFF" w:val="clear"/>
          </w:tcPr>
          <w:p>
            <w:pPr>
              <w:pStyle w:val="TableContents"/>
              <w:keepNext w:val="false"/>
              <w:widowControl/>
              <w:pBdr/>
              <w:bidi w:val="0"/>
              <w:spacing w:before="0" w:after="283"/>
              <w:jc w:val="left"/>
            </w:pPr>
            <w:hyperlink w:anchor="ea0309227-01_ex321.htm">
              <w:r>
                <w:rPr>
                  <w:rStyle w:val="InternetLink"/>
                  <w:rFonts w:ascii="Times New Roman PS Std;serif" w:hAnsi="Times New Roman PS Std;serif"/>
                  <w:b w:val="false"/>
                  <w:i w:val="false"/>
                  <w:caps w:val="false"/>
                  <w:smallCaps w:val="false"/>
                  <w:sz w:val="20"/>
                </w:rPr>
                <w:t>Certification of Chief Executive Officer pursuant to section 906 of The Sarbanes-Oxley Act of 2002.**</w:t>
              </w:r>
            </w:hyperlink>
          </w:p>
        </w:tc>
      </w:tr>
      <w:tr>
        <w:tc>
          <w:tcPr>
            <w:tcW w:w="440"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32.2</w:t>
            </w:r>
          </w:p>
        </w:tc>
        <w:tc>
          <w:tcPr>
            <w:tcW w:w="146" w:type="dxa"/>
            <w:tcBorders/>
          </w:tcPr>
          <w:p>
            <w:pPr>
              <w:pStyle w:val="TableContents"/>
              <w:bidi w:val="0"/>
              <w:spacing w:before="0" w:after="283"/>
              <w:jc w:val="left"/>
            </w:pPr>
            <w:r>
              <w:t> </w:t>
            </w:r>
          </w:p>
        </w:tc>
        <w:tc>
          <w:tcPr>
            <w:tcW w:w="9619" w:type="dxa"/>
            <w:tcBorders/>
          </w:tcPr>
          <w:p>
            <w:pPr>
              <w:pStyle w:val="TableContents"/>
              <w:keepNext w:val="false"/>
              <w:widowControl/>
              <w:pBdr/>
              <w:bidi w:val="0"/>
              <w:spacing w:before="0" w:after="283"/>
              <w:jc w:val="left"/>
            </w:pPr>
            <w:hyperlink w:anchor="ea0309227-01_ex322.htm">
              <w:r>
                <w:rPr>
                  <w:rStyle w:val="InternetLink"/>
                  <w:rFonts w:ascii="Times New Roman PS Std;serif" w:hAnsi="Times New Roman PS Std;serif"/>
                  <w:b w:val="false"/>
                  <w:i w:val="false"/>
                  <w:caps w:val="false"/>
                  <w:smallCaps w:val="false"/>
                  <w:sz w:val="20"/>
                </w:rPr>
                <w:t>Certification of Chief Financial Officer pursuant to section 906 of The Sarbanes-Oxley Act of 2002.**</w:t>
              </w:r>
            </w:hyperlink>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Filed herewith</w:t>
      </w:r>
    </w:p>
    <w:p>
      <w:pPr>
        <w:pStyle w:val="TextBody"/>
        <w:keepNext w:val="false"/>
        <w:pageBreakBefore w:val="false"/>
        <w:widowControl/>
        <w:pBdr/>
        <w:bidi w:val="0"/>
        <w:spacing w:before="0" w:after="283"/>
        <w:ind w:left="480" w:right="0" w:hanging="48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Furnished herewith.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1" w:name="T99521"/>
      <w:bookmarkEnd w:id="21"/>
      <w:r>
        <w:rPr>
          <w:rFonts w:ascii="Times New Roman PS Std;serif" w:hAnsi="Times New Roman PS Std;serif"/>
          <w:b/>
          <w:i w:val="false"/>
          <w:caps w:val="false"/>
          <w:smallCaps w:val="false"/>
          <w:sz w:val="20"/>
        </w:rPr>
        <w:t xml:space="preserve">SIGNATURES </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tbl>
      <w:tblPr>
        <w:tblW w:w="6580" w:type="dxa"/>
        <w:jc w:val="left"/>
        <w:tblInd w:w="0" w:type="dxa"/>
        <w:tblLayout w:type="fixed"/>
        <w:tblCellMar>
          <w:top w:w="0" w:type="dxa"/>
          <w:left w:w="0" w:type="dxa"/>
          <w:bottom w:w="0" w:type="dxa"/>
          <w:right w:w="0" w:type="dxa"/>
        </w:tblCellMar>
      </w:tblPr>
      <w:tblGrid>
        <w:gridCol w:w="2506"/>
        <w:gridCol w:w="146"/>
        <w:gridCol w:w="421"/>
        <w:gridCol w:w="146"/>
        <w:gridCol w:w="3361"/>
      </w:tblGrid>
      <w:tr>
        <w:tc>
          <w:tcPr>
            <w:tcW w:w="2506"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pPr>
            <w:r>
              <w:t> </w:t>
            </w:r>
          </w:p>
        </w:tc>
        <w:tc>
          <w:tcPr>
            <w:tcW w:w="3928" w:type="dxa"/>
            <w:gridSpan w:val="3"/>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OXFORD SQUARE CAPITAL CORP.</w:t>
            </w:r>
          </w:p>
        </w:tc>
      </w:tr>
      <w:tr>
        <w:tc>
          <w:tcPr>
            <w:tcW w:w="25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3, 2026</w:t>
            </w:r>
          </w:p>
        </w:tc>
        <w:tc>
          <w:tcPr>
            <w:tcW w:w="146" w:type="dxa"/>
            <w:tcBorders/>
          </w:tcPr>
          <w:p>
            <w:pPr>
              <w:pStyle w:val="TableContents"/>
              <w:bidi w:val="0"/>
              <w:spacing w:before="0" w:after="283"/>
              <w:jc w:val="left"/>
            </w:pPr>
            <w: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s</w:t>
            </w:r>
            <w:r>
              <w:rPr>
                <w:rFonts w:ascii="Times New Roman PS Std;serif" w:hAnsi="Times New Roman PS Std;serif"/>
                <w:b w:val="false"/>
                <w:i w:val="false"/>
                <w:smallCaps/>
                <w:sz w:val="20"/>
              </w:rPr>
              <w:t>/ Jonathan H. Cohen</w:t>
            </w:r>
          </w:p>
        </w:tc>
      </w:tr>
      <w:tr>
        <w:tc>
          <w:tcPr>
            <w:tcW w:w="250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42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r>
          </w:p>
        </w:tc>
      </w:tr>
      <w:tr>
        <w:tc>
          <w:tcPr>
            <w:tcW w:w="250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42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Executive Officer</w:t>
            </w:r>
          </w:p>
        </w:tc>
      </w:tr>
      <w:tr>
        <w:tc>
          <w:tcPr>
            <w:tcW w:w="250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42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Executive Officer)</w:t>
            </w:r>
          </w:p>
        </w:tc>
      </w:tr>
      <w:tr>
        <w:tc>
          <w:tcPr>
            <w:tcW w:w="250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 November 3, 2026</w:t>
            </w:r>
          </w:p>
        </w:tc>
        <w:tc>
          <w:tcPr>
            <w:tcW w:w="146" w:type="dxa"/>
            <w:tcBorders/>
          </w:tcPr>
          <w:p>
            <w:pPr>
              <w:pStyle w:val="TableContents"/>
              <w:bidi w:val="0"/>
              <w:spacing w:before="0" w:after="283"/>
              <w:jc w:val="left"/>
            </w:pPr>
            <w:r>
              <w:t> </w:t>
            </w:r>
          </w:p>
        </w:tc>
        <w:tc>
          <w:tcPr>
            <w:tcW w:w="42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 L. Rubin</w:t>
            </w:r>
          </w:p>
        </w:tc>
      </w:tr>
      <w:tr>
        <w:tc>
          <w:tcPr>
            <w:tcW w:w="250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42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r>
          </w:p>
        </w:tc>
      </w:tr>
      <w:tr>
        <w:tc>
          <w:tcPr>
            <w:tcW w:w="250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42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Financial Officer</w:t>
            </w:r>
          </w:p>
        </w:tc>
      </w:tr>
      <w:tr>
        <w:tc>
          <w:tcPr>
            <w:tcW w:w="2506"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421" w:type="dxa"/>
            <w:tcBorders/>
          </w:tcPr>
          <w:p>
            <w:pPr>
              <w:pStyle w:val="TableContents"/>
              <w:bidi w:val="0"/>
              <w:spacing w:before="0" w:after="283"/>
              <w:jc w:val="left"/>
            </w:pPr>
            <w:r>
              <w:t> </w:t>
            </w:r>
          </w:p>
        </w:tc>
        <w:tc>
          <w:tcPr>
            <w:tcW w:w="146" w:type="dxa"/>
            <w:tcBorders/>
          </w:tcPr>
          <w:p>
            <w:pPr>
              <w:pStyle w:val="TableContents"/>
              <w:bidi w:val="0"/>
              <w:spacing w:before="0" w:after="283"/>
              <w:jc w:val="left"/>
            </w:pPr>
            <w:r>
              <w:t> </w:t>
            </w:r>
          </w:p>
        </w:tc>
        <w:tc>
          <w:tcPr>
            <w:tcW w:w="336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(Principal Accounting Officer)</w:t>
            </w:r>
          </w:p>
        </w:tc>
      </w:tr>
    </w:tbl>
    <w:p>
      <w:pPr>
        <w:pStyle w:val="TextBody"/>
        <w:keepNext w:val="false"/>
        <w:pageBreakBefore w:val="false"/>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2" w:name="ea0309227-01_ex311.htm"/>
      <w:bookmarkStart w:id="23" w:name="ksea030922701_ex311"/>
      <w:bookmarkEnd w:id="22"/>
      <w:bookmarkEnd w:id="23"/>
      <w:r>
        <w:rPr>
          <w:rFonts w:ascii="Times New Roman PS Std;serif" w:hAnsi="Times New Roman PS Std;serif"/>
          <w:b/>
          <w:i w:val="false"/>
          <w:caps w:val="false"/>
          <w:smallCaps w:val="false"/>
          <w:sz w:val="20"/>
        </w:rPr>
        <w:t>Exhibit 31.1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EXECUTIVE OFFICER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Jonathan H. Cohen, Chief Executive Officer of Oxford Square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quarterly report on Form 10-Q of Oxford Square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tbl>
      <w:tblPr>
        <w:tblW w:w="4193" w:type="dxa"/>
        <w:jc w:val="left"/>
        <w:tblInd w:w="0" w:type="dxa"/>
        <w:tblLayout w:type="fixed"/>
        <w:tblCellMar>
          <w:top w:w="0" w:type="dxa"/>
          <w:left w:w="0" w:type="dxa"/>
          <w:bottom w:w="0" w:type="dxa"/>
          <w:right w:w="0" w:type="dxa"/>
        </w:tblCellMar>
      </w:tblPr>
      <w:tblGrid>
        <w:gridCol w:w="3856"/>
        <w:gridCol w:w="146"/>
        <w:gridCol w:w="191"/>
      </w:tblGrid>
      <w:tr>
        <w:tc>
          <w:tcPr>
            <w:tcW w:w="38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3rd day of November, 2026</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r>
        <w:tc>
          <w:tcPr>
            <w:tcW w:w="385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smallCaps/>
                <w:sz w:val="20"/>
              </w:rPr>
              <w:t>/</w:t>
            </w:r>
            <w:r>
              <w:rPr>
                <w:rFonts w:ascii="Times New Roman PS Std;serif" w:hAnsi="Times New Roman PS Std;serif"/>
                <w:b w:val="false"/>
                <w:i w:val="false"/>
                <w:caps w:val="false"/>
                <w:smallCaps w:val="false"/>
                <w:sz w:val="20"/>
              </w:rPr>
              <w:t>s</w:t>
            </w:r>
            <w:r>
              <w:rPr>
                <w:rFonts w:ascii="Times New Roman PS Std;serif" w:hAnsi="Times New Roman PS Std;serif"/>
                <w:b w:val="false"/>
                <w:i w:val="false"/>
                <w:smallCaps/>
                <w:sz w:val="20"/>
              </w:rPr>
              <w:t>/ Jonathan H. Cohen</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r>
        <w:tc>
          <w:tcPr>
            <w:tcW w:w="3856" w:type="dxa"/>
            <w:tcBorders/>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Jonathan H. Cohen</w:t>
            </w:r>
          </w:p>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Executive Officer</w:t>
              <w:br/>
              <w:t>(Principal Executive Officer)</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4" w:name="ea0309227-01_ex312.htm"/>
      <w:bookmarkStart w:id="25" w:name="ksea030922701_ex312"/>
      <w:bookmarkEnd w:id="24"/>
      <w:bookmarkEnd w:id="25"/>
      <w:r>
        <w:rPr>
          <w:rFonts w:ascii="Times New Roman PS Std;serif" w:hAnsi="Times New Roman PS Std;serif"/>
          <w:b/>
          <w:i w:val="false"/>
          <w:caps w:val="false"/>
          <w:smallCaps w:val="false"/>
          <w:sz w:val="20"/>
        </w:rPr>
        <w:t>Exhibit 31.2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FINANCIAL OFFICER</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Bruce L. Rubin, Chief Financial Officer of Oxford Square Capital Corp., certify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I have reviewed this quarterly report on Form 10-Q of Oxford Square Capital Corp.;</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keepNext w:val="false"/>
        <w:pageBreakBefore w:val="false"/>
        <w:widowControl/>
        <w:pBdr/>
        <w:bidi w:val="0"/>
        <w:spacing w:before="160" w:after="283"/>
        <w:ind w:left="144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any fraud, whether or not material, that involves management or other employees who have a significant role in the registrant’s internal control over financial reporting.</w:t>
      </w:r>
    </w:p>
    <w:tbl>
      <w:tblPr>
        <w:tblW w:w="4193" w:type="dxa"/>
        <w:jc w:val="left"/>
        <w:tblInd w:w="0" w:type="dxa"/>
        <w:tblLayout w:type="fixed"/>
        <w:tblCellMar>
          <w:top w:w="0" w:type="dxa"/>
          <w:left w:w="0" w:type="dxa"/>
          <w:bottom w:w="0" w:type="dxa"/>
          <w:right w:w="0" w:type="dxa"/>
        </w:tblCellMar>
      </w:tblPr>
      <w:tblGrid>
        <w:gridCol w:w="3856"/>
        <w:gridCol w:w="146"/>
        <w:gridCol w:w="191"/>
      </w:tblGrid>
      <w:tr>
        <w:tc>
          <w:tcPr>
            <w:tcW w:w="385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Dated this 3rd day of November, 2026</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r>
        <w:tc>
          <w:tcPr>
            <w:tcW w:w="3856" w:type="dxa"/>
            <w:tcBorders/>
          </w:tcPr>
          <w:p>
            <w:pPr>
              <w:pStyle w:val="TableContents"/>
              <w:keepNext w:val="false"/>
              <w:widowControl/>
              <w:pBdr/>
              <w:bidi w:val="0"/>
              <w:spacing w:before="160" w:after="283"/>
              <w:jc w:val="left"/>
              <w:rPr>
                <w:rFonts w:ascii="Times New Roman PS Std;serif" w:hAnsi="Times New Roman PS Std;serif"/>
                <w:b w:val="false"/>
                <w:i w:val="false"/>
                <w:smallCaps/>
                <w:sz w:val="20"/>
              </w:rPr>
            </w:pPr>
            <w:r>
              <w:rPr>
                <w:rFonts w:ascii="Times New Roman PS Std;serif" w:hAnsi="Times New Roman PS Std;serif"/>
                <w:b w:val="false"/>
                <w:i w:val="false"/>
                <w:smallCaps/>
                <w:sz w:val="20"/>
              </w:rPr>
              <w:t>/s/ Bruce L. Rubin</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r>
        <w:tc>
          <w:tcPr>
            <w:tcW w:w="3856" w:type="dxa"/>
            <w:tcBorders/>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Bruce L. Rubin</w:t>
            </w:r>
          </w:p>
          <w:p>
            <w:pPr>
              <w:pStyle w:val="TableContents"/>
              <w:keepNext w:val="fals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Chief Financial Officer</w:t>
              <w:br/>
              <w:t>(Principal Financial Officer)</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6" w:name="ea0309227-01_ex321.htm"/>
      <w:bookmarkStart w:id="27" w:name="ksea030922701_ex321"/>
      <w:bookmarkEnd w:id="26"/>
      <w:bookmarkEnd w:id="27"/>
      <w:r>
        <w:rPr>
          <w:rFonts w:ascii="Times New Roman PS Std;serif" w:hAnsi="Times New Roman PS Std;serif"/>
          <w:b/>
          <w:i w:val="false"/>
          <w:caps w:val="false"/>
          <w:smallCaps w:val="false"/>
          <w:sz w:val="20"/>
        </w:rPr>
        <w:t>Exhibit 32.1</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EXECUTIVE OFFICER</w:t>
        <w:br/>
        <w:t>PURSUANT TO</w:t>
        <w:br/>
        <w:t>SECTION 906 OF THE SARBANES-OXLEY ACT OF 2002 (18 U.S.C. 1350)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Quarterly Report on Form 10-Q for the period ended September 30, 2026 (the “Report”) of Oxford Square Capital Corp. (the “Registrant”), as filed with the Securities and Exchange Commission on the date hereof, I, Jonathan H. Cohen, the Chief Executive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578" w:type="dxa"/>
        <w:jc w:val="left"/>
        <w:tblInd w:w="0" w:type="dxa"/>
        <w:tblLayout w:type="fixed"/>
        <w:tblCellMar>
          <w:top w:w="0" w:type="dxa"/>
          <w:left w:w="0" w:type="dxa"/>
          <w:bottom w:w="0" w:type="dxa"/>
          <w:right w:w="0" w:type="dxa"/>
        </w:tblCellMar>
      </w:tblPr>
      <w:tblGrid>
        <w:gridCol w:w="3241"/>
        <w:gridCol w:w="146"/>
        <w:gridCol w:w="191"/>
      </w:tblGrid>
      <w:tr>
        <w:tc>
          <w:tcPr>
            <w:tcW w:w="324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Jonathan</w:t>
            </w:r>
            <w:r>
              <w:rPr>
                <w:rFonts w:ascii="Times New Roman PS Std;serif" w:hAnsi="Times New Roman PS Std;serif"/>
                <w:b w:val="false"/>
                <w:i w:val="false"/>
                <w:caps w:val="false"/>
                <w:smallCaps w:val="false"/>
                <w:sz w:val="20"/>
              </w:rPr>
              <w:t xml:space="preserve"> H. </w:t>
            </w:r>
            <w:r>
              <w:rPr>
                <w:rFonts w:ascii="Times New Roman PS Std;serif" w:hAnsi="Times New Roman PS Std;serif"/>
                <w:b w:val="false"/>
                <w:i w:val="false"/>
                <w:smallCaps/>
                <w:sz w:val="20"/>
              </w:rPr>
              <w:t>Cohen</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r>
        <w:tc>
          <w:tcPr>
            <w:tcW w:w="3241" w:type="dxa"/>
            <w:tcBorders/>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 Jonathan H. Cohen</w:t>
              <w:br/>
              <w:t>Title: Chief Executive Officer</w:t>
              <w:br/>
              <w:t>(Principal Executive Officer)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Date: November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3, 2026</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true"/>
        <w:pageBreakBefore w:val="false"/>
        <w:widowControl/>
        <w:pBdr/>
        <w:bidi w:val="0"/>
        <w:spacing w:before="240" w:after="283"/>
        <w:jc w:val="right"/>
        <w:rPr>
          <w:rFonts w:ascii="Times New Roman PS Std;serif" w:hAnsi="Times New Roman PS Std;serif"/>
          <w:b/>
          <w:i w:val="false"/>
          <w:caps w:val="false"/>
          <w:smallCaps w:val="false"/>
          <w:sz w:val="20"/>
        </w:rPr>
      </w:pPr>
      <w:bookmarkStart w:id="28" w:name="ea0309227-01_ex322.htm"/>
      <w:bookmarkStart w:id="29" w:name="ksea030922701_ex322"/>
      <w:bookmarkEnd w:id="28"/>
      <w:bookmarkEnd w:id="29"/>
      <w:r>
        <w:rPr>
          <w:rFonts w:ascii="Times New Roman PS Std;serif" w:hAnsi="Times New Roman PS Std;serif"/>
          <w:b/>
          <w:i w:val="false"/>
          <w:caps w:val="false"/>
          <w:smallCaps w:val="false"/>
          <w:sz w:val="20"/>
        </w:rPr>
        <w:t>Exhibit 32.2</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CERTIFICATION OF CHIEF FINANCIAL OFFICER</w:t>
        <w:br/>
        <w:t>PURSUANT TO</w:t>
        <w:br/>
        <w:t>SECTION 906 OF THE SARBANES-OXLEY ACT OF 2002 (18 U.S.C. 1350)</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Quarterly Report on Form 10-Q for the period ended September 30, 2026 (the “Report”) of Oxford Square Capital Corp. (the “Registrant”), as filed with the Securities and Exchange Commission on the date hereof, I, Bruce L. Rubin, the Chief Financial Officer of the Registrant, hereby certify, to the best of my knowledge, that:</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Report fully complies with the requirements of Section 13(a) or 15(d) of the Securities Exchange Act of 1934, as amended; and</w:t>
      </w:r>
    </w:p>
    <w:p>
      <w:pPr>
        <w:pStyle w:val="TextBody"/>
        <w:keepNext w:val="false"/>
        <w:pageBreakBefore w:val="false"/>
        <w:widowControl/>
        <w:pBdr/>
        <w:bidi w:val="0"/>
        <w:spacing w:before="160" w:after="283"/>
        <w:ind w:left="96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information contained in the Report fairly presents, in all material respects, the financial condition and results of operations of the Registrant.</w:t>
      </w:r>
    </w:p>
    <w:tbl>
      <w:tblPr>
        <w:tblW w:w="3503" w:type="dxa"/>
        <w:jc w:val="left"/>
        <w:tblInd w:w="0" w:type="dxa"/>
        <w:tblLayout w:type="fixed"/>
        <w:tblCellMar>
          <w:top w:w="0" w:type="dxa"/>
          <w:left w:w="0" w:type="dxa"/>
          <w:bottom w:w="0" w:type="dxa"/>
          <w:right w:w="0" w:type="dxa"/>
        </w:tblCellMar>
      </w:tblPr>
      <w:tblGrid>
        <w:gridCol w:w="3166"/>
        <w:gridCol w:w="146"/>
        <w:gridCol w:w="191"/>
      </w:tblGrid>
      <w:tr>
        <w:tc>
          <w:tcPr>
            <w:tcW w:w="3166"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 </w:t>
            </w:r>
            <w:r>
              <w:rPr>
                <w:rFonts w:ascii="Times New Roman PS Std;serif" w:hAnsi="Times New Roman PS Std;serif"/>
                <w:b w:val="false"/>
                <w:i w:val="false"/>
                <w:smallCaps/>
                <w:sz w:val="20"/>
              </w:rPr>
              <w:t>Bruce L. Rubin</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r>
        <w:tc>
          <w:tcPr>
            <w:tcW w:w="3166" w:type="dxa"/>
            <w:tcBorders/>
          </w:tcPr>
          <w:p>
            <w:pPr>
              <w:pStyle w:val="TableContents"/>
              <w:keepNext w:val="false"/>
              <w:widowControl/>
              <w:pBdr/>
              <w:bidi w:val="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Name: Bruce L. Rubin </w:t>
              <w:br/>
              <w:t>Title: Chief Financial Officer</w:t>
              <w:br/>
              <w:t>(Principal Financial Officer)</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Date: November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3, 2026</w:t>
            </w:r>
          </w:p>
        </w:tc>
        <w:tc>
          <w:tcPr>
            <w:tcW w:w="146" w:type="dxa"/>
            <w:tcBorders/>
          </w:tcPr>
          <w:p>
            <w:pPr>
              <w:pStyle w:val="TableContents"/>
              <w:bidi w:val="0"/>
              <w:spacing w:before="0" w:after="283"/>
              <w:jc w:val="left"/>
            </w:pPr>
            <w:r>
              <w:t> </w:t>
            </w:r>
          </w:p>
        </w:tc>
        <w:tc>
          <w:tcPr>
            <w:tcW w:w="191" w:type="dxa"/>
            <w:tcBorders/>
          </w:tcPr>
          <w:p>
            <w:pPr>
              <w:pStyle w:val="TableContents"/>
              <w:bidi w:val="0"/>
              <w:spacing w:before="0" w:after="283"/>
              <w:jc w:val="left"/>
            </w:pPr>
            <w:r>
              <w:t> </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sectPr>
      <w:type w:val="continuous"/>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59429/000095013603002344/file002.txt" TargetMode="External"/><Relationship Id="rId3" Type="http://schemas.openxmlformats.org/officeDocument/2006/relationships/hyperlink" Target="http://www.sec.gov/Archives/edgar/data/1259429/000119312507257974/dex31.htm" TargetMode="External"/><Relationship Id="rId4" Type="http://schemas.openxmlformats.org/officeDocument/2006/relationships/hyperlink" Target="http://www.sec.gov/Archives/edgar/data/1259429/000161577418001990/s109409_ex3-1.htm" TargetMode="External"/><Relationship Id="rId5" Type="http://schemas.openxmlformats.org/officeDocument/2006/relationships/hyperlink" Target="http://www.sec.gov/Archives/edgar/data/1259429/000161577418001990/s109409_ex3-2.htm" TargetMode="External"/><Relationship Id="rId6" Type="http://schemas.openxmlformats.org/officeDocument/2006/relationships/hyperlink" Target="http://www.sec.gov/Archives/edgar/data/1259429/000121390026054051/ea028993801_ex3-1.htm" TargetMode="External"/><Relationship Id="rId7" Type="http://schemas.openxmlformats.org/officeDocument/2006/relationships/hyperlink" Target="http://www.sec.gov/Archives/edgar/data/1259429/000121390026114080/ea031027601_ex3-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71</Pages>
  <Words>35874</Words>
  <Characters>199832</Characters>
  <CharactersWithSpaces>241252</CharactersWithSpaces>
  <Paragraphs>13553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