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162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23"/>
                <w:szCs w:val="23"/>
                <w:b w:val="1"/>
                <w:bCs w:val="1"/>
                <w:color w:val="auto"/>
                <w:w w:val="98"/>
              </w:rPr>
              <w:t>FORM 4</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20" w:type="dxa"/>
            <w:vAlign w:val="bottom"/>
            <w:gridSpan w:val="18"/>
          </w:tcPr>
          <w:p>
            <w:pPr>
              <w:jc w:val="center"/>
              <w:ind w:right="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8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340" w:type="dxa"/>
            <w:vAlign w:val="bottom"/>
            <w:tcBorders>
              <w:bottom w:val="single" w:sz="8" w:color="808080"/>
            </w:tcBorders>
          </w:tcPr>
          <w:p>
            <w:pPr>
              <w:spacing w:after="0"/>
              <w:rPr>
                <w:sz w:val="23"/>
                <w:szCs w:val="23"/>
                <w:color w:val="auto"/>
              </w:rPr>
            </w:pPr>
          </w:p>
        </w:tc>
        <w:tc>
          <w:tcPr>
            <w:tcW w:w="580" w:type="dxa"/>
            <w:vAlign w:val="bottom"/>
            <w:tcBorders>
              <w:bottom w:val="single" w:sz="8" w:color="808080"/>
            </w:tcBorders>
          </w:tcPr>
          <w:p>
            <w:pPr>
              <w:spacing w:after="0"/>
              <w:rPr>
                <w:sz w:val="23"/>
                <w:szCs w:val="23"/>
                <w:color w:val="auto"/>
              </w:rPr>
            </w:pPr>
          </w:p>
        </w:tc>
        <w:tc>
          <w:tcPr>
            <w:tcW w:w="200" w:type="dxa"/>
            <w:vAlign w:val="bottom"/>
            <w:tcBorders>
              <w:bottom w:val="single" w:sz="8" w:color="808080"/>
            </w:tcBorders>
          </w:tcPr>
          <w:p>
            <w:pPr>
              <w:spacing w:after="0"/>
              <w:rPr>
                <w:sz w:val="23"/>
                <w:szCs w:val="23"/>
                <w:color w:val="auto"/>
              </w:rPr>
            </w:pPr>
          </w:p>
        </w:tc>
        <w:tc>
          <w:tcPr>
            <w:tcW w:w="5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60" w:type="dxa"/>
            <w:vAlign w:val="bottom"/>
            <w:gridSpan w:val="4"/>
            <w:vMerge w:val="restart"/>
          </w:tcPr>
          <w:p>
            <w:pPr>
              <w:jc w:val="center"/>
              <w:ind w:right="100"/>
              <w:spacing w:after="0" w:line="141" w:lineRule="exact"/>
              <w:rPr>
                <w:sz w:val="20"/>
                <w:szCs w:val="20"/>
                <w:color w:val="auto"/>
              </w:rPr>
            </w:pPr>
            <w:r>
              <w:rPr>
                <w:rFonts w:ascii="Arial" w:cs="Arial" w:eastAsia="Arial" w:hAnsi="Arial"/>
                <w:sz w:val="13"/>
                <w:szCs w:val="13"/>
                <w:color w:val="auto"/>
                <w:w w:val="97"/>
              </w:rPr>
              <w:t>Washington, D.C. 20549</w:t>
            </w: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36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40" w:type="dxa"/>
            <w:vAlign w:val="bottom"/>
            <w:gridSpan w:val="8"/>
            <w:vMerge w:val="restart"/>
          </w:tcPr>
          <w:p>
            <w:pPr>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220" w:type="dxa"/>
            <w:vAlign w:val="bottom"/>
            <w:gridSpan w:val="18"/>
            <w:vMerge w:val="restart"/>
          </w:tcPr>
          <w:p>
            <w:pPr>
              <w:jc w:val="center"/>
              <w:ind w:right="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5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220" w:type="dxa"/>
            <w:vAlign w:val="bottom"/>
            <w:gridSpan w:val="18"/>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1"/>
                <w:szCs w:val="11"/>
                <w:color w:val="auto"/>
              </w:rPr>
              <w:t>OMB Number:</w:t>
            </w:r>
          </w:p>
        </w:tc>
        <w:tc>
          <w:tcPr>
            <w:tcW w:w="720" w:type="dxa"/>
            <w:vAlign w:val="bottom"/>
            <w:gridSpan w:val="2"/>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gridSpan w:val="4"/>
          </w:tcPr>
          <w:p>
            <w:pPr>
              <w:ind w:left="240"/>
              <w:spacing w:after="0"/>
              <w:rPr>
                <w:sz w:val="20"/>
                <w:szCs w:val="20"/>
                <w:color w:val="auto"/>
              </w:rPr>
            </w:pPr>
            <w:r>
              <w:rPr>
                <w:rFonts w:ascii="Arial" w:cs="Arial" w:eastAsia="Arial" w:hAnsi="Arial"/>
                <w:sz w:val="11"/>
                <w:szCs w:val="11"/>
                <w:color w:val="auto"/>
              </w:rPr>
              <w:t>Section 16. Form 4 or Form 5</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color w:val="auto"/>
              </w:rPr>
              <w:t>Estimated average burden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4"/>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580" w:type="dxa"/>
            <w:vAlign w:val="bottom"/>
          </w:tcPr>
          <w:p>
            <w:pPr>
              <w:spacing w:after="0"/>
              <w:rPr>
                <w:sz w:val="11"/>
                <w:szCs w:val="11"/>
                <w:color w:val="auto"/>
              </w:rPr>
            </w:pPr>
          </w:p>
        </w:tc>
        <w:tc>
          <w:tcPr>
            <w:tcW w:w="4920" w:type="dxa"/>
            <w:vAlign w:val="bottom"/>
            <w:gridSpan w:val="16"/>
            <w:vMerge w:val="restart"/>
          </w:tcPr>
          <w:p>
            <w:pPr>
              <w:jc w:val="center"/>
              <w:ind w:right="2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200" w:type="dxa"/>
            <w:vAlign w:val="bottom"/>
          </w:tcPr>
          <w:p>
            <w:pPr>
              <w:spacing w:after="0"/>
              <w:rPr>
                <w:sz w:val="11"/>
                <w:szCs w:val="11"/>
                <w:color w:val="auto"/>
              </w:rPr>
            </w:pPr>
          </w:p>
        </w:tc>
        <w:tc>
          <w:tcPr>
            <w:tcW w:w="52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50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920" w:type="dxa"/>
            <w:vAlign w:val="bottom"/>
            <w:gridSpan w:val="16"/>
            <w:vMerge w:val="continue"/>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920" w:type="dxa"/>
            <w:vAlign w:val="bottom"/>
            <w:gridSpan w:val="16"/>
            <w:vMerge w:val="continu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8"/>
          </w:tcPr>
          <w:p>
            <w:pPr>
              <w:jc w:val="center"/>
              <w:ind w:right="159"/>
              <w:spacing w:after="0"/>
              <w:rPr>
                <w:sz w:val="20"/>
                <w:szCs w:val="20"/>
                <w:color w:val="auto"/>
              </w:rPr>
            </w:pPr>
            <w:r>
              <w:rPr>
                <w:rFonts w:ascii="Arial" w:cs="Arial" w:eastAsia="Arial" w:hAnsi="Arial"/>
                <w:sz w:val="13"/>
                <w:szCs w:val="13"/>
                <w:color w:val="auto"/>
                <w:w w:val="98"/>
              </w:rPr>
              <w:t>or Section 30(h) of the Investment Company Act of 1940</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5"/>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920" w:type="dxa"/>
            <w:vAlign w:val="bottom"/>
            <w:tcBorders>
              <w:bottom w:val="single" w:sz="8" w:color="2C2C2C"/>
            </w:tcBorders>
            <w:gridSpan w:val="11"/>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40" w:type="dxa"/>
            <w:vAlign w:val="bottom"/>
            <w:gridSpan w:val="6"/>
          </w:tcPr>
          <w:p>
            <w:pPr>
              <w:ind w:left="60"/>
              <w:spacing w:after="0" w:line="205"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5"/>
            <w:vMerge w:val="restart"/>
          </w:tcPr>
          <w:p>
            <w:pPr>
              <w:ind w:left="20"/>
              <w:spacing w:after="0"/>
              <w:rPr>
                <w:rFonts w:ascii="Arial" w:cs="Arial" w:eastAsia="Arial" w:hAnsi="Arial"/>
                <w:sz w:val="20"/>
                <w:szCs w:val="20"/>
                <w:color w:val="0000EE"/>
              </w:rPr>
            </w:pPr>
            <w:hyperlink r:id="rId8">
              <w:r>
                <w:rPr>
                  <w:rFonts w:ascii="Arial" w:cs="Arial" w:eastAsia="Arial" w:hAnsi="Arial"/>
                  <w:sz w:val="20"/>
                  <w:szCs w:val="20"/>
                  <w:color w:val="0000EE"/>
                </w:rPr>
                <w:t>COHEN JONATHAN H</w:t>
              </w:r>
            </w:hyperlink>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10"/>
          </w:tcPr>
          <w:p>
            <w:pPr>
              <w:ind w:left="80"/>
              <w:spacing w:after="0" w:line="102" w:lineRule="exact"/>
              <w:rPr>
                <w:rFonts w:ascii="Arial" w:cs="Arial" w:eastAsia="Arial" w:hAnsi="Arial"/>
                <w:sz w:val="11"/>
                <w:szCs w:val="11"/>
                <w:color w:val="0000EE"/>
              </w:rPr>
            </w:pPr>
            <w:hyperlink r:id="rId9">
              <w:r>
                <w:rPr>
                  <w:rFonts w:ascii="Arial" w:cs="Arial" w:eastAsia="Arial" w:hAnsi="Arial"/>
                  <w:sz w:val="11"/>
                  <w:szCs w:val="11"/>
                  <w:color w:val="0000EE"/>
                </w:rPr>
                <w:t xml:space="preserve">Oxford Square Capital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OXSQ</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56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5"/>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860" w:type="dxa"/>
            <w:vAlign w:val="bottom"/>
            <w:tcBorders>
              <w:bottom w:val="single" w:sz="8" w:color="0000EE"/>
            </w:tcBorders>
          </w:tcPr>
          <w:p>
            <w:pPr>
              <w:spacing w:after="0" w:line="20" w:lineRule="exact"/>
              <w:rPr>
                <w:sz w:val="1"/>
                <w:szCs w:val="1"/>
                <w:color w:val="auto"/>
              </w:rPr>
            </w:pPr>
          </w:p>
        </w:tc>
        <w:tc>
          <w:tcPr>
            <w:tcW w:w="760" w:type="dxa"/>
            <w:vAlign w:val="bottom"/>
            <w:tcBorders>
              <w:bottom w:val="single" w:sz="8" w:color="0000EE"/>
            </w:tcBorders>
          </w:tcPr>
          <w:p>
            <w:pPr>
              <w:spacing w:after="0" w:line="20" w:lineRule="exact"/>
              <w:rPr>
                <w:sz w:val="1"/>
                <w:szCs w:val="1"/>
                <w:color w:val="auto"/>
              </w:rPr>
            </w:pPr>
          </w:p>
        </w:tc>
        <w:tc>
          <w:tcPr>
            <w:tcW w:w="200" w:type="dxa"/>
            <w:vAlign w:val="bottom"/>
            <w:tcBorders>
              <w:bottom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72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gridSpan w:val="7"/>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5"/>
            <w:vMerge w:val="continue"/>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0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1180" w:type="dxa"/>
            <w:vAlign w:val="bottom"/>
            <w:gridSpan w:val="4"/>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6"/>
                <w:szCs w:val="6"/>
                <w:color w:val="auto"/>
              </w:rPr>
            </w:pPr>
          </w:p>
        </w:tc>
        <w:tc>
          <w:tcPr>
            <w:tcW w:w="1500" w:type="dxa"/>
            <w:vAlign w:val="bottom"/>
            <w:gridSpan w:val="7"/>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620" w:type="dxa"/>
            <w:vAlign w:val="bottom"/>
            <w:tcBorders>
              <w:top w:val="single" w:sz="8" w:color="EEEEEE"/>
            </w:tcBorders>
          </w:tcPr>
          <w:p>
            <w:pPr>
              <w:spacing w:after="0"/>
              <w:rPr>
                <w:sz w:val="7"/>
                <w:szCs w:val="7"/>
                <w:color w:val="auto"/>
              </w:rPr>
            </w:pPr>
          </w:p>
        </w:tc>
        <w:tc>
          <w:tcPr>
            <w:tcW w:w="880" w:type="dxa"/>
            <w:vAlign w:val="bottom"/>
            <w:tcBorders>
              <w:top w:val="single" w:sz="8" w:color="EEEEEE"/>
            </w:tcBorders>
          </w:tcPr>
          <w:p>
            <w:pPr>
              <w:spacing w:after="0"/>
              <w:rPr>
                <w:sz w:val="7"/>
                <w:szCs w:val="7"/>
                <w:color w:val="auto"/>
              </w:rPr>
            </w:pPr>
          </w:p>
        </w:tc>
        <w:tc>
          <w:tcPr>
            <w:tcW w:w="520" w:type="dxa"/>
            <w:vAlign w:val="bottom"/>
            <w:tcBorders>
              <w:top w:val="single" w:sz="8" w:color="EEEEEE"/>
            </w:tcBorders>
          </w:tcPr>
          <w:p>
            <w:pPr>
              <w:spacing w:after="0"/>
              <w:rPr>
                <w:sz w:val="7"/>
                <w:szCs w:val="7"/>
                <w:color w:val="auto"/>
              </w:rPr>
            </w:pPr>
          </w:p>
        </w:tc>
        <w:tc>
          <w:tcPr>
            <w:tcW w:w="420" w:type="dxa"/>
            <w:vAlign w:val="bottom"/>
            <w:tcBorders>
              <w:top w:val="single" w:sz="8" w:color="EEEEEE"/>
            </w:tcBorders>
          </w:tcPr>
          <w:p>
            <w:pPr>
              <w:spacing w:after="0"/>
              <w:rPr>
                <w:sz w:val="7"/>
                <w:szCs w:val="7"/>
                <w:color w:val="auto"/>
              </w:rPr>
            </w:pPr>
          </w:p>
        </w:tc>
        <w:tc>
          <w:tcPr>
            <w:tcW w:w="580" w:type="dxa"/>
            <w:vAlign w:val="bottom"/>
            <w:tcBorders>
              <w:top w:val="single" w:sz="8" w:color="EEEEEE"/>
            </w:tcBorders>
          </w:tcPr>
          <w:p>
            <w:pPr>
              <w:spacing w:after="0"/>
              <w:rPr>
                <w:sz w:val="7"/>
                <w:szCs w:val="7"/>
                <w:color w:val="auto"/>
              </w:rPr>
            </w:pPr>
          </w:p>
        </w:tc>
        <w:tc>
          <w:tcPr>
            <w:tcW w:w="540" w:type="dxa"/>
            <w:vAlign w:val="bottom"/>
            <w:tcBorders>
              <w:top w:val="single" w:sz="8" w:color="EEEEEE"/>
            </w:tcBorders>
          </w:tcPr>
          <w:p>
            <w:pPr>
              <w:spacing w:after="0"/>
              <w:rPr>
                <w:sz w:val="7"/>
                <w:szCs w:val="7"/>
                <w:color w:val="auto"/>
              </w:rPr>
            </w:pPr>
          </w:p>
        </w:tc>
        <w:tc>
          <w:tcPr>
            <w:tcW w:w="80" w:type="dxa"/>
            <w:vAlign w:val="bottom"/>
            <w:tcBorders>
              <w:top w:val="single" w:sz="8" w:color="EEEEEE"/>
            </w:tcBorders>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150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5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9"/>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72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restart"/>
          </w:tcPr>
          <w:p>
            <w:pPr>
              <w:ind w:left="240"/>
              <w:spacing w:after="0"/>
              <w:rPr>
                <w:sz w:val="20"/>
                <w:szCs w:val="20"/>
                <w:color w:val="auto"/>
              </w:rPr>
            </w:pPr>
            <w:r>
              <w:rPr>
                <w:rFonts w:ascii="Arial" w:cs="Arial" w:eastAsia="Arial" w:hAnsi="Arial"/>
                <w:sz w:val="13"/>
                <w:szCs w:val="13"/>
                <w:color w:val="auto"/>
              </w:rPr>
              <w:t>below)</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640" w:type="dxa"/>
            <w:vAlign w:val="bottom"/>
            <w:gridSpan w:val="8"/>
            <w:vMerge w:val="restart"/>
          </w:tcPr>
          <w:p>
            <w:pPr>
              <w:ind w:left="240"/>
              <w:spacing w:after="0"/>
              <w:rPr>
                <w:sz w:val="20"/>
                <w:szCs w:val="20"/>
                <w:color w:val="auto"/>
              </w:rPr>
            </w:pPr>
            <w:r>
              <w:rPr>
                <w:rFonts w:ascii="Arial" w:cs="Arial" w:eastAsia="Arial" w:hAnsi="Arial"/>
                <w:sz w:val="17"/>
                <w:szCs w:val="17"/>
                <w:color w:val="0000FF"/>
              </w:rPr>
              <w:t>06/14/2023</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40" w:type="dxa"/>
            <w:vAlign w:val="bottom"/>
            <w:gridSpan w:val="6"/>
            <w:vMerge w:val="restart"/>
          </w:tcPr>
          <w:p>
            <w:pPr>
              <w:ind w:left="20"/>
              <w:spacing w:after="0"/>
              <w:rPr>
                <w:sz w:val="20"/>
                <w:szCs w:val="20"/>
                <w:color w:val="auto"/>
              </w:rPr>
            </w:pPr>
            <w:r>
              <w:rPr>
                <w:rFonts w:ascii="Arial" w:cs="Arial" w:eastAsia="Arial" w:hAnsi="Arial"/>
                <w:sz w:val="17"/>
                <w:szCs w:val="17"/>
                <w:color w:val="0000FF"/>
                <w:w w:val="94"/>
              </w:rPr>
              <w:t>C/O OXFORD SQUARE CAPITAL CORP.</w:t>
            </w:r>
          </w:p>
        </w:tc>
        <w:tc>
          <w:tcPr>
            <w:tcW w:w="540" w:type="dxa"/>
            <w:vAlign w:val="bottom"/>
          </w:tcPr>
          <w:p>
            <w:pPr>
              <w:spacing w:after="0"/>
              <w:rPr>
                <w:sz w:val="8"/>
                <w:szCs w:val="8"/>
                <w:color w:val="auto"/>
              </w:rPr>
            </w:pPr>
          </w:p>
        </w:tc>
        <w:tc>
          <w:tcPr>
            <w:tcW w:w="1640" w:type="dxa"/>
            <w:vAlign w:val="bottom"/>
            <w:gridSpan w:val="8"/>
            <w:vMerge w:val="continue"/>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100" w:type="dxa"/>
            <w:vAlign w:val="bottom"/>
            <w:gridSpan w:val="6"/>
            <w:vMerge w:val="restart"/>
          </w:tcPr>
          <w:p>
            <w:pPr>
              <w:ind w:left="460"/>
              <w:spacing w:after="0"/>
              <w:rPr>
                <w:sz w:val="20"/>
                <w:szCs w:val="20"/>
                <w:color w:val="auto"/>
              </w:rPr>
            </w:pPr>
            <w:r>
              <w:rPr>
                <w:rFonts w:ascii="Arial" w:cs="Arial" w:eastAsia="Arial" w:hAnsi="Arial"/>
                <w:sz w:val="17"/>
                <w:szCs w:val="17"/>
                <w:color w:val="0000FF"/>
                <w:w w:val="93"/>
              </w:rPr>
              <w:t>Chief Executive Officer</w:t>
            </w: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40" w:type="dxa"/>
            <w:vAlign w:val="bottom"/>
            <w:gridSpan w:val="6"/>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0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040" w:type="dxa"/>
            <w:vAlign w:val="bottom"/>
            <w:gridSpan w:val="6"/>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6"/>
            <w:vMerge w:val="restart"/>
          </w:tcPr>
          <w:p>
            <w:pPr>
              <w:ind w:left="20"/>
              <w:spacing w:after="0"/>
              <w:rPr>
                <w:sz w:val="20"/>
                <w:szCs w:val="20"/>
                <w:color w:val="auto"/>
              </w:rPr>
            </w:pPr>
            <w:r>
              <w:rPr>
                <w:rFonts w:ascii="Arial" w:cs="Arial" w:eastAsia="Arial" w:hAnsi="Arial"/>
                <w:sz w:val="17"/>
                <w:szCs w:val="17"/>
                <w:color w:val="0000FF"/>
              </w:rPr>
              <w:t>8 SOUND SHORE DRIVE, SUITE 255</w:t>
            </w: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gridSpan w:val="5"/>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2920" w:type="dxa"/>
            <w:vAlign w:val="bottom"/>
            <w:tcBorders>
              <w:bottom w:val="single" w:sz="8" w:color="2C2C2C"/>
            </w:tcBorders>
            <w:gridSpan w:val="11"/>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0" w:type="dxa"/>
            <w:vAlign w:val="bottom"/>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80" w:type="dxa"/>
            <w:vAlign w:val="bottom"/>
            <w:gridSpan w:val="9"/>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20" w:type="dxa"/>
            <w:vAlign w:val="bottom"/>
            <w:gridSpan w:val="12"/>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3"/>
          </w:tcPr>
          <w:p>
            <w:pPr>
              <w:ind w:left="20"/>
              <w:spacing w:after="0" w:line="180" w:lineRule="exact"/>
              <w:rPr>
                <w:sz w:val="20"/>
                <w:szCs w:val="20"/>
                <w:color w:val="auto"/>
              </w:rPr>
            </w:pPr>
            <w:r>
              <w:rPr>
                <w:rFonts w:ascii="Arial" w:cs="Arial" w:eastAsia="Arial" w:hAnsi="Arial"/>
                <w:sz w:val="17"/>
                <w:szCs w:val="17"/>
                <w:color w:val="0000FF"/>
              </w:rPr>
              <w:t>GREENWICH   CT</w:t>
            </w: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line="180" w:lineRule="exact"/>
              <w:rPr>
                <w:sz w:val="20"/>
                <w:szCs w:val="20"/>
                <w:color w:val="auto"/>
              </w:rPr>
            </w:pPr>
            <w:r>
              <w:rPr>
                <w:rFonts w:ascii="Arial" w:cs="Arial" w:eastAsia="Arial" w:hAnsi="Arial"/>
                <w:sz w:val="17"/>
                <w:szCs w:val="17"/>
                <w:color w:val="0000FF"/>
              </w:rPr>
              <w:t>06830</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auto"/>
              </w:rPr>
              <w:t>Person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0" w:type="dxa"/>
            <w:vAlign w:val="bottom"/>
            <w:tcBorders>
              <w:bottom w:val="single" w:sz="8" w:color="9A9A9A"/>
            </w:tcBorders>
            <w:gridSpan w:val="2"/>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580" w:type="dxa"/>
            <w:vAlign w:val="bottom"/>
          </w:tcPr>
          <w:p>
            <w:pPr>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0" w:type="dxa"/>
            <w:vAlign w:val="bottom"/>
            <w:gridSpan w:val="10"/>
          </w:tcPr>
          <w:p>
            <w:pPr>
              <w:ind w:left="80"/>
              <w:spacing w:after="0"/>
              <w:rPr>
                <w:sz w:val="20"/>
                <w:szCs w:val="20"/>
                <w:color w:val="auto"/>
              </w:rPr>
            </w:pPr>
            <w:r>
              <w:rPr>
                <w:rFonts w:ascii="Arial" w:cs="Arial" w:eastAsia="Arial" w:hAnsi="Arial"/>
                <w:sz w:val="20"/>
                <w:szCs w:val="20"/>
                <w:color w:val="auto"/>
              </w:rPr>
              <w:t>Rule 10b5-1(c) Transaction Indication</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20" w:type="dxa"/>
            <w:vAlign w:val="bottom"/>
            <w:gridSpan w:val="22"/>
            <w:vMerge w:val="restart"/>
          </w:tcPr>
          <w:p>
            <w:pPr>
              <w:ind w:left="10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020" w:type="dxa"/>
            <w:vAlign w:val="bottom"/>
            <w:gridSpan w:val="2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4000" w:type="dxa"/>
            <w:vAlign w:val="bottom"/>
            <w:gridSpan w:val="10"/>
          </w:tcPr>
          <w:p>
            <w:pPr>
              <w:ind w:left="100"/>
              <w:spacing w:after="0" w:line="122"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6640" w:type="dxa"/>
            <w:vAlign w:val="bottom"/>
            <w:tcBorders>
              <w:top w:val="single" w:sz="8" w:color="2C2C2C"/>
            </w:tcBorders>
            <w:gridSpan w:val="19"/>
          </w:tcPr>
          <w:p>
            <w:pPr>
              <w:ind w:left="2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080" w:type="dxa"/>
            <w:vAlign w:val="bottom"/>
            <w:gridSpan w:val="7"/>
          </w:tcPr>
          <w:p>
            <w:pPr>
              <w:ind w:left="10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20" w:type="dxa"/>
            <w:vAlign w:val="bottom"/>
            <w:gridSpan w:val="6"/>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6"/>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920" w:type="dxa"/>
            <w:vAlign w:val="bottom"/>
            <w:gridSpan w:val="6"/>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7"/>
          </w:tcPr>
          <w:p>
            <w:pPr>
              <w:ind w:left="10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120"/>
              <w:spacing w:after="0"/>
              <w:rPr>
                <w:sz w:val="20"/>
                <w:szCs w:val="20"/>
                <w:color w:val="auto"/>
              </w:rPr>
            </w:pPr>
            <w:r>
              <w:rPr>
                <w:rFonts w:ascii="Arial" w:cs="Arial" w:eastAsia="Arial" w:hAnsi="Arial"/>
                <w:sz w:val="11"/>
                <w:szCs w:val="11"/>
                <w:b w:val="1"/>
                <w:bCs w:val="1"/>
                <w:color w:val="auto"/>
              </w:rPr>
              <w:t>5)</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20" w:type="dxa"/>
            <w:vAlign w:val="bottom"/>
            <w:gridSpan w:val="6"/>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20" w:type="dxa"/>
            <w:vAlign w:val="bottom"/>
            <w:gridSpan w:val="6"/>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gridSpan w:val="6"/>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92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20" w:type="dxa"/>
            <w:vAlign w:val="bottom"/>
            <w:vMerge w:val="continue"/>
          </w:tcPr>
          <w:p>
            <w:pPr>
              <w:spacing w:after="0"/>
              <w:rPr>
                <w:sz w:val="11"/>
                <w:szCs w:val="11"/>
                <w:color w:val="auto"/>
              </w:rPr>
            </w:pPr>
          </w:p>
        </w:tc>
        <w:tc>
          <w:tcPr>
            <w:tcW w:w="6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2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120" w:type="dxa"/>
            <w:vAlign w:val="bottom"/>
            <w:gridSpan w:val="7"/>
          </w:tcPr>
          <w:p>
            <w:pPr>
              <w:ind w:left="60"/>
              <w:spacing w:after="0"/>
              <w:rPr>
                <w:sz w:val="20"/>
                <w:szCs w:val="20"/>
                <w:color w:val="auto"/>
              </w:rPr>
            </w:pPr>
            <w:r>
              <w:rPr>
                <w:rFonts w:ascii="Arial" w:cs="Arial" w:eastAsia="Arial" w:hAnsi="Arial"/>
                <w:sz w:val="17"/>
                <w:szCs w:val="17"/>
                <w:color w:val="0000FF"/>
                <w:w w:val="95"/>
              </w:rPr>
              <w:t>Common Stock, par value $0.01 per share</w:t>
            </w:r>
          </w:p>
        </w:tc>
        <w:tc>
          <w:tcPr>
            <w:tcW w:w="1080" w:type="dxa"/>
            <w:vAlign w:val="bottom"/>
            <w:gridSpan w:val="7"/>
          </w:tcPr>
          <w:p>
            <w:pPr>
              <w:ind w:left="200"/>
              <w:spacing w:after="0"/>
              <w:rPr>
                <w:sz w:val="20"/>
                <w:szCs w:val="20"/>
                <w:color w:val="auto"/>
              </w:rPr>
            </w:pPr>
            <w:r>
              <w:rPr>
                <w:rFonts w:ascii="Arial" w:cs="Arial" w:eastAsia="Arial" w:hAnsi="Arial"/>
                <w:sz w:val="17"/>
                <w:szCs w:val="17"/>
                <w:color w:val="0000FF"/>
              </w:rPr>
              <w:t>06/14/2023</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jc w:val="center"/>
              <w:ind w:right="201"/>
              <w:spacing w:after="0"/>
              <w:rPr>
                <w:sz w:val="20"/>
                <w:szCs w:val="20"/>
                <w:color w:val="auto"/>
              </w:rPr>
            </w:pPr>
            <w:r>
              <w:rPr>
                <w:rFonts w:ascii="Arial" w:cs="Arial" w:eastAsia="Arial" w:hAnsi="Arial"/>
                <w:sz w:val="13"/>
                <w:szCs w:val="13"/>
                <w:color w:val="0000FF"/>
              </w:rPr>
              <w:t>X</w:t>
            </w:r>
          </w:p>
        </w:tc>
        <w:tc>
          <w:tcPr>
            <w:tcW w:w="740" w:type="dxa"/>
            <w:vAlign w:val="bottom"/>
            <w:gridSpan w:val="2"/>
          </w:tcPr>
          <w:p>
            <w:pPr>
              <w:ind w:left="200"/>
              <w:spacing w:after="0"/>
              <w:rPr>
                <w:sz w:val="20"/>
                <w:szCs w:val="20"/>
                <w:color w:val="auto"/>
              </w:rPr>
            </w:pPr>
            <w:r>
              <w:rPr>
                <w:rFonts w:ascii="Arial" w:cs="Arial" w:eastAsia="Arial" w:hAnsi="Arial"/>
                <w:sz w:val="17"/>
                <w:szCs w:val="17"/>
                <w:color w:val="0000FF"/>
                <w:w w:val="84"/>
              </w:rPr>
              <w:t>568,122</w:t>
            </w:r>
          </w:p>
        </w:tc>
        <w:tc>
          <w:tcPr>
            <w:tcW w:w="620" w:type="dxa"/>
            <w:vAlign w:val="bottom"/>
          </w:tcPr>
          <w:p>
            <w:pPr>
              <w:ind w:left="32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2.66</w:t>
            </w:r>
          </w:p>
        </w:tc>
        <w:tc>
          <w:tcPr>
            <w:tcW w:w="20" w:type="dxa"/>
            <w:vAlign w:val="bottom"/>
          </w:tcPr>
          <w:p>
            <w:pPr>
              <w:spacing w:after="0"/>
              <w:rPr>
                <w:sz w:val="22"/>
                <w:szCs w:val="22"/>
                <w:color w:val="auto"/>
              </w:rPr>
            </w:pPr>
          </w:p>
        </w:tc>
        <w:tc>
          <w:tcPr>
            <w:tcW w:w="1180" w:type="dxa"/>
            <w:vAlign w:val="bottom"/>
            <w:gridSpan w:val="4"/>
          </w:tcPr>
          <w:p>
            <w:pPr>
              <w:jc w:val="right"/>
              <w:ind w:right="223"/>
              <w:spacing w:after="0"/>
              <w:rPr>
                <w:sz w:val="20"/>
                <w:szCs w:val="20"/>
                <w:color w:val="auto"/>
              </w:rPr>
            </w:pPr>
            <w:r>
              <w:rPr>
                <w:rFonts w:ascii="Arial" w:cs="Arial" w:eastAsia="Arial" w:hAnsi="Arial"/>
                <w:sz w:val="17"/>
                <w:szCs w:val="17"/>
                <w:color w:val="0000FF"/>
              </w:rPr>
              <w:t>2,272,489</w:t>
            </w:r>
          </w:p>
        </w:tc>
        <w:tc>
          <w:tcPr>
            <w:tcW w:w="340" w:type="dxa"/>
            <w:vAlign w:val="bottom"/>
          </w:tcPr>
          <w:p>
            <w:pPr>
              <w:spacing w:after="0"/>
              <w:rPr>
                <w:sz w:val="22"/>
                <w:szCs w:val="22"/>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20" w:type="dxa"/>
            <w:vAlign w:val="bottom"/>
            <w:gridSpan w:val="7"/>
            <w:vMerge w:val="restart"/>
          </w:tcPr>
          <w:p>
            <w:pPr>
              <w:ind w:left="60"/>
              <w:spacing w:after="0"/>
              <w:rPr>
                <w:sz w:val="20"/>
                <w:szCs w:val="20"/>
                <w:color w:val="auto"/>
              </w:rPr>
            </w:pPr>
            <w:r>
              <w:rPr>
                <w:rFonts w:ascii="Arial" w:cs="Arial" w:eastAsia="Arial" w:hAnsi="Arial"/>
                <w:sz w:val="17"/>
                <w:szCs w:val="17"/>
                <w:color w:val="0000FF"/>
                <w:w w:val="95"/>
              </w:rPr>
              <w:t>Common Stock, par value $0.01 per share</w:t>
            </w: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1,102</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20" w:type="dxa"/>
            <w:vAlign w:val="bottom"/>
            <w:gridSpan w:val="6"/>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20" w:type="dxa"/>
            <w:vAlign w:val="bottom"/>
            <w:gridSpan w:val="7"/>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6"/>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20" w:type="dxa"/>
            <w:vAlign w:val="bottom"/>
            <w:gridSpan w:val="16"/>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4"/>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2.</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00" w:type="dxa"/>
            <w:vAlign w:val="bottom"/>
          </w:tcPr>
          <w:p>
            <w:pPr>
              <w:spacing w:after="0"/>
              <w:rPr>
                <w:sz w:val="14"/>
                <w:szCs w:val="14"/>
                <w:color w:val="auto"/>
              </w:rPr>
            </w:pPr>
          </w:p>
        </w:tc>
        <w:tc>
          <w:tcPr>
            <w:tcW w:w="720" w:type="dxa"/>
            <w:vAlign w:val="bottom"/>
            <w:gridSpan w:val="5"/>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Conversion</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7"/>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gridSpan w:val="5"/>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or Exercise</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1"/>
                <w:szCs w:val="11"/>
                <w:color w:val="auto"/>
              </w:rPr>
            </w:pPr>
          </w:p>
        </w:tc>
        <w:tc>
          <w:tcPr>
            <w:tcW w:w="780" w:type="dxa"/>
            <w:vAlign w:val="bottom"/>
            <w:gridSpan w:val="7"/>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00" w:type="dxa"/>
            <w:vAlign w:val="bottom"/>
          </w:tcPr>
          <w:p>
            <w:pPr>
              <w:spacing w:after="0"/>
              <w:rPr>
                <w:sz w:val="11"/>
                <w:szCs w:val="11"/>
                <w:color w:val="auto"/>
              </w:rPr>
            </w:pPr>
          </w:p>
        </w:tc>
        <w:tc>
          <w:tcPr>
            <w:tcW w:w="720" w:type="dxa"/>
            <w:vAlign w:val="bottom"/>
            <w:gridSpan w:val="5"/>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Price of</w:t>
            </w: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3"/>
          </w:tcPr>
          <w:p>
            <w:pPr>
              <w:ind w:left="60"/>
              <w:spacing w:after="0"/>
              <w:rPr>
                <w:sz w:val="20"/>
                <w:szCs w:val="20"/>
                <w:color w:val="auto"/>
              </w:rPr>
            </w:pPr>
            <w:r>
              <w:rPr>
                <w:rFonts w:ascii="Arial" w:cs="Arial" w:eastAsia="Arial" w:hAnsi="Arial"/>
                <w:sz w:val="11"/>
                <w:szCs w:val="11"/>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gridSpan w:val="4"/>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gridSpan w:val="5"/>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120"/>
              <w:spacing w:after="0"/>
              <w:rPr>
                <w:sz w:val="20"/>
                <w:szCs w:val="20"/>
                <w:color w:val="auto"/>
              </w:rPr>
            </w:pPr>
            <w:r>
              <w:rPr>
                <w:rFonts w:ascii="Arial" w:cs="Arial" w:eastAsia="Arial" w:hAnsi="Arial"/>
                <w:sz w:val="11"/>
                <w:szCs w:val="11"/>
                <w:b w:val="1"/>
                <w:bCs w:val="1"/>
                <w:color w:val="auto"/>
              </w:rPr>
              <w:t>Security</w:t>
            </w: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4"/>
          </w:tcPr>
          <w:p>
            <w:pPr>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3"/>
                <w:szCs w:val="3"/>
                <w:color w:val="auto"/>
              </w:rPr>
            </w:pPr>
          </w:p>
        </w:tc>
        <w:tc>
          <w:tcPr>
            <w:tcW w:w="800" w:type="dxa"/>
            <w:vAlign w:val="bottom"/>
            <w:gridSpan w:val="4"/>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gridSpan w:val="6"/>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gridSpan w:val="6"/>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vMerge w:val="continue"/>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w w:val="87"/>
              </w:rPr>
              <w:t>Transferable</w:t>
            </w: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20" w:type="dxa"/>
            <w:vAlign w:val="bottom"/>
            <w:gridSpan w:val="3"/>
          </w:tcPr>
          <w:p>
            <w:pPr>
              <w:ind w:left="60"/>
              <w:spacing w:after="0" w:line="141" w:lineRule="exact"/>
              <w:rPr>
                <w:sz w:val="20"/>
                <w:szCs w:val="20"/>
                <w:color w:val="auto"/>
              </w:rPr>
            </w:pPr>
            <w:r>
              <w:rPr>
                <w:rFonts w:ascii="Arial" w:cs="Arial" w:eastAsia="Arial" w:hAnsi="Arial"/>
                <w:sz w:val="13"/>
                <w:szCs w:val="13"/>
                <w:color w:val="0000FF"/>
                <w:w w:val="89"/>
              </w:rPr>
              <w:t>Subscription</w:t>
            </w: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gridSpan w:val="2"/>
            <w:vMerge w:val="restart"/>
          </w:tcPr>
          <w:p>
            <w:pPr>
              <w:spacing w:after="0"/>
              <w:rPr>
                <w:sz w:val="20"/>
                <w:szCs w:val="20"/>
                <w:color w:val="auto"/>
              </w:rPr>
            </w:pPr>
            <w:r>
              <w:rPr>
                <w:rFonts w:ascii="Arial" w:cs="Arial" w:eastAsia="Arial" w:hAnsi="Arial"/>
                <w:sz w:val="17"/>
                <w:szCs w:val="17"/>
                <w:color w:val="0000FF"/>
                <w:w w:val="94"/>
              </w:rPr>
              <w:t>568,122</w:t>
            </w: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color w:val="0000FF"/>
              </w:rPr>
              <w:t>Rights</w:t>
            </w:r>
          </w:p>
        </w:tc>
        <w:tc>
          <w:tcPr>
            <w:tcW w:w="8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2.66</w:t>
            </w:r>
          </w:p>
        </w:tc>
        <w:tc>
          <w:tcPr>
            <w:tcW w:w="940" w:type="dxa"/>
            <w:vAlign w:val="bottom"/>
            <w:gridSpan w:val="2"/>
          </w:tcPr>
          <w:p>
            <w:pPr>
              <w:jc w:val="right"/>
              <w:ind w:right="97"/>
              <w:spacing w:after="0"/>
              <w:rPr>
                <w:sz w:val="20"/>
                <w:szCs w:val="20"/>
                <w:color w:val="auto"/>
              </w:rPr>
            </w:pPr>
            <w:r>
              <w:rPr>
                <w:rFonts w:ascii="Arial" w:cs="Arial" w:eastAsia="Arial" w:hAnsi="Arial"/>
                <w:sz w:val="13"/>
                <w:szCs w:val="13"/>
                <w:color w:val="0000FF"/>
              </w:rPr>
              <w:t>06/14/2023</w:t>
            </w: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4"/>
          </w:tcPr>
          <w:p>
            <w:pPr>
              <w:ind w:left="40"/>
              <w:spacing w:after="0"/>
              <w:rPr>
                <w:sz w:val="20"/>
                <w:szCs w:val="20"/>
                <w:color w:val="auto"/>
              </w:rPr>
            </w:pPr>
            <w:r>
              <w:rPr>
                <w:rFonts w:ascii="Arial" w:cs="Arial" w:eastAsia="Arial" w:hAnsi="Arial"/>
                <w:sz w:val="13"/>
                <w:szCs w:val="13"/>
                <w:color w:val="0000FF"/>
              </w:rPr>
              <w:t>X</w:t>
            </w:r>
          </w:p>
        </w:tc>
        <w:tc>
          <w:tcPr>
            <w:tcW w:w="240" w:type="dxa"/>
            <w:vAlign w:val="bottom"/>
          </w:tcPr>
          <w:p>
            <w:pPr>
              <w:spacing w:after="0"/>
              <w:rPr>
                <w:sz w:val="12"/>
                <w:szCs w:val="12"/>
                <w:color w:val="auto"/>
              </w:rPr>
            </w:pPr>
          </w:p>
        </w:tc>
        <w:tc>
          <w:tcPr>
            <w:tcW w:w="860" w:type="dxa"/>
            <w:vAlign w:val="bottom"/>
          </w:tcPr>
          <w:p>
            <w:pPr>
              <w:ind w:left="340"/>
              <w:spacing w:after="0"/>
              <w:rPr>
                <w:sz w:val="20"/>
                <w:szCs w:val="20"/>
                <w:color w:val="auto"/>
              </w:rPr>
            </w:pPr>
            <w:r>
              <w:rPr>
                <w:rFonts w:ascii="Arial" w:cs="Arial" w:eastAsia="Arial" w:hAnsi="Arial"/>
                <w:sz w:val="13"/>
                <w:szCs w:val="13"/>
                <w:color w:val="0000FF"/>
              </w:rPr>
              <w:t>568,122</w:t>
            </w:r>
          </w:p>
        </w:tc>
        <w:tc>
          <w:tcPr>
            <w:tcW w:w="760" w:type="dxa"/>
            <w:vAlign w:val="bottom"/>
          </w:tcPr>
          <w:p>
            <w:pPr>
              <w:ind w:left="60"/>
              <w:spacing w:after="0"/>
              <w:rPr>
                <w:sz w:val="20"/>
                <w:szCs w:val="20"/>
                <w:color w:val="auto"/>
              </w:rPr>
            </w:pPr>
            <w:r>
              <w:rPr>
                <w:rFonts w:ascii="Arial" w:cs="Arial" w:eastAsia="Arial" w:hAnsi="Arial"/>
                <w:sz w:val="13"/>
                <w:szCs w:val="13"/>
                <w:color w:val="0000FF"/>
              </w:rPr>
              <w:t>05/24/2023</w:t>
            </w:r>
          </w:p>
        </w:tc>
        <w:tc>
          <w:tcPr>
            <w:tcW w:w="740" w:type="dxa"/>
            <w:vAlign w:val="bottom"/>
            <w:gridSpan w:val="2"/>
          </w:tcPr>
          <w:p>
            <w:pPr>
              <w:ind w:left="40"/>
              <w:spacing w:after="0"/>
              <w:rPr>
                <w:sz w:val="20"/>
                <w:szCs w:val="20"/>
                <w:color w:val="auto"/>
              </w:rPr>
            </w:pPr>
            <w:r>
              <w:rPr>
                <w:rFonts w:ascii="Arial" w:cs="Arial" w:eastAsia="Arial" w:hAnsi="Arial"/>
                <w:sz w:val="13"/>
                <w:szCs w:val="13"/>
                <w:color w:val="0000FF"/>
              </w:rPr>
              <w:t>06/14/2023</w:t>
            </w:r>
          </w:p>
        </w:tc>
        <w:tc>
          <w:tcPr>
            <w:tcW w:w="620" w:type="dxa"/>
            <w:vAlign w:val="bottom"/>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ind w:left="1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460" w:type="dxa"/>
            <w:vAlign w:val="bottom"/>
            <w:gridSpan w:val="3"/>
          </w:tcPr>
          <w:p>
            <w:pPr>
              <w:ind w:left="360"/>
              <w:spacing w:after="0"/>
              <w:rPr>
                <w:sz w:val="20"/>
                <w:szCs w:val="20"/>
                <w:color w:val="auto"/>
              </w:rPr>
            </w:pPr>
            <w:r>
              <w:rPr>
                <w:rFonts w:ascii="Arial" w:cs="Arial" w:eastAsia="Arial" w:hAnsi="Arial"/>
                <w:sz w:val="13"/>
                <w:szCs w:val="13"/>
                <w:color w:val="0000FF"/>
              </w:rPr>
              <w:t>0</w:t>
            </w:r>
          </w:p>
        </w:tc>
        <w:tc>
          <w:tcPr>
            <w:tcW w:w="340" w:type="dxa"/>
            <w:vAlign w:val="bottom"/>
          </w:tcPr>
          <w:p>
            <w:pPr>
              <w:spacing w:after="0"/>
              <w:rPr>
                <w:sz w:val="12"/>
                <w:szCs w:val="12"/>
                <w:color w:val="auto"/>
              </w:rPr>
            </w:pPr>
          </w:p>
        </w:tc>
        <w:tc>
          <w:tcPr>
            <w:tcW w:w="580" w:type="dxa"/>
            <w:vAlign w:val="bottom"/>
          </w:tcPr>
          <w:p>
            <w:pPr>
              <w:ind w:left="360"/>
              <w:spacing w:after="0"/>
              <w:rPr>
                <w:sz w:val="20"/>
                <w:szCs w:val="20"/>
                <w:color w:val="auto"/>
              </w:rPr>
            </w:pPr>
            <w:r>
              <w:rPr>
                <w:rFonts w:ascii="Arial" w:cs="Arial" w:eastAsia="Arial" w:hAnsi="Arial"/>
                <w:sz w:val="13"/>
                <w:szCs w:val="13"/>
                <w:color w:val="0000FF"/>
              </w:rPr>
              <w:t>D</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3"/>
          </w:tcPr>
          <w:p>
            <w:pPr>
              <w:ind w:left="60"/>
              <w:spacing w:after="0" w:line="131" w:lineRule="exact"/>
              <w:rPr>
                <w:sz w:val="20"/>
                <w:szCs w:val="20"/>
                <w:color w:val="auto"/>
              </w:rPr>
            </w:pPr>
            <w:r>
              <w:rPr>
                <w:rFonts w:ascii="Arial" w:cs="Arial" w:eastAsia="Arial" w:hAnsi="Arial"/>
                <w:sz w:val="13"/>
                <w:szCs w:val="13"/>
                <w:color w:val="0000FF"/>
              </w:rPr>
              <w:t>(right to</w:t>
            </w:r>
          </w:p>
        </w:tc>
        <w:tc>
          <w:tcPr>
            <w:tcW w:w="8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120"/>
              <w:spacing w:after="0" w:line="131" w:lineRule="exact"/>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-5985510</wp:posOffset>
            </wp:positionV>
            <wp:extent cx="7047230" cy="6159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615950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(2)</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Oxford Funds, LLC, which may be deemed to be beneficially owned by Mr. Cohen by virtue of his ownership interest therein.</w:t>
      </w:r>
    </w:p>
    <w:p>
      <w:pPr>
        <w:spacing w:after="0" w:line="42" w:lineRule="exact"/>
        <w:rPr>
          <w:rFonts w:ascii="Arial" w:cs="Arial" w:eastAsia="Arial" w:hAnsi="Arial"/>
          <w:sz w:val="13"/>
          <w:szCs w:val="13"/>
          <w:color w:val="008000"/>
        </w:rPr>
      </w:pPr>
    </w:p>
    <w:p>
      <w:pPr>
        <w:ind w:left="40" w:right="200" w:firstLine="1"/>
        <w:spacing w:after="0" w:line="258"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May 10, 2023, Oxford Square Capital Corp. (the "Company") announced the commencement of a pro rata offering (the "Rights Offering") of transferable rights (the "Rights") to holders of the Company's common shares, as of the record date of May 23, 2023 ("Record Date Shareholder"), entitling the holders of such rights to subscribe for up to an aggregate of 16,633,723 of the Company's common shares. Record Date Shareholders received one Right for every three common shares held on the record date. The Rights entitle their holders to purchase one new common share for every one Right held. The subscription price per common share is $2.66. The subscription rights expired if they were not exercised by 5:00 p.m. Eastern time on June 14, 2023.</w:t>
      </w:r>
    </w:p>
    <w:p>
      <w:pPr>
        <w:spacing w:after="0" w:line="2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Pr>
          <w:p>
            <w:pPr>
              <w:spacing w:after="0"/>
              <w:rPr>
                <w:sz w:val="20"/>
                <w:szCs w:val="20"/>
                <w:color w:val="auto"/>
              </w:rPr>
            </w:pPr>
            <w:r>
              <w:rPr>
                <w:rFonts w:ascii="Arial" w:cs="Arial" w:eastAsia="Arial" w:hAnsi="Arial"/>
                <w:sz w:val="17"/>
                <w:szCs w:val="17"/>
                <w:color w:val="0000FF"/>
                <w:w w:val="85"/>
              </w:rPr>
              <w:t>/s/ Jonathan H. Cohen</w:t>
            </w:r>
          </w:p>
        </w:tc>
        <w:tc>
          <w:tcPr>
            <w:tcW w:w="56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07/06/2023</w:t>
            </w:r>
          </w:p>
        </w:tc>
      </w:tr>
      <w:tr>
        <w:trPr>
          <w:trHeight w:val="20"/>
        </w:trPr>
        <w:tc>
          <w:tcPr>
            <w:tcW w:w="1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68530" TargetMode="External"/><Relationship Id="rId9" Type="http://schemas.openxmlformats.org/officeDocument/2006/relationships/hyperlink" Target="http://www.sec.gov/cgi-bin/browse-edgar?action=getcompany&amp;CIK=0001259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2023-07-06T14:23:48Z</dcterms:created>
  <dcterms:modified xsi:type="dcterms:W3CDTF">2023-07-06T14:23:48Z</dcterms:modified>
</cp:coreProperties>
</file>