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942-01_8k.htm"/>
      <w:bookmarkStart w:id="1" w:name="ksea03029420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8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B_edei--DocumentPeriodEndDate_c202"/>
      <w:bookmarkEnd w:id="3"/>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OXFORD SQUARE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8" w:space="0" w:color="000000"/>
            </w:tcBorders>
            <w:vAlign w:val="center"/>
          </w:tcPr>
          <w:p>
            <w:pPr>
              <w:pStyle w:val="TableContents"/>
              <w:bidi w:val="0"/>
              <w:spacing w:before="0" w:after="283"/>
              <w:jc w:val="center"/>
              <w:rPr>
                <w:b/>
              </w:rPr>
            </w:pPr>
            <w:bookmarkStart w:id="5" w:name="xdx_90D_edei--EntityIncorporationStateCo"/>
            <w:bookmarkEnd w:id="5"/>
            <w:r>
              <w:rPr>
                <w:b/>
              </w:rPr>
              <w:t>Maryland</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2_edei--EntityFileNumber_c20260820"/>
            <w:bookmarkEnd w:id="6"/>
            <w:r>
              <w:rPr>
                <w:b/>
              </w:rPr>
              <w:t>814-00638</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D_edei--EntityTaxIdentificationNum"/>
            <w:bookmarkEnd w:id="7"/>
            <w:r>
              <w:rPr>
                <w:b/>
              </w:rPr>
              <w:t>20-0188736</w:t>
            </w:r>
          </w:p>
        </w:tc>
      </w:tr>
      <w:tr>
        <w:trPr/>
        <w:tc>
          <w:tcPr>
            <w:tcW w:w="2480" w:type="dxa"/>
            <w:tcBorders/>
            <w:tcMar>
              <w:bottom w:w="0" w:type="dxa"/>
            </w:tcMar>
            <w:vAlign w:val="center"/>
          </w:tcPr>
          <w:p>
            <w:pPr>
              <w:pStyle w:val="TableContents"/>
              <w:bidi w:val="0"/>
              <w:spacing w:before="0" w:after="283"/>
              <w:jc w:val="center"/>
              <w:rPr/>
            </w:pPr>
            <w:r>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r>
          </w:p>
        </w:tc>
      </w:tr>
      <w:tr>
        <w:trPr/>
        <w:tc>
          <w:tcPr>
            <w:tcW w:w="2480" w:type="dxa"/>
            <w:tcBorders/>
            <w:tcMar>
              <w:bottom w:w="0" w:type="dxa"/>
            </w:tcMar>
            <w:vAlign w:val="center"/>
          </w:tcPr>
          <w:p>
            <w:pPr>
              <w:pStyle w:val="TableContents"/>
              <w:bidi w:val="0"/>
              <w:spacing w:before="0" w:after="283"/>
              <w:jc w:val="center"/>
              <w:rPr/>
            </w:pPr>
            <w:r>
              <w:rP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8 Sound Shore Drive, </w:t>
      </w:r>
      <w:bookmarkStart w:id="9" w:name="xdx_902_edei--EntityAddressAddressLine2_"/>
      <w:bookmarkEnd w:id="9"/>
      <w:r>
        <w:rPr>
          <w:rFonts w:ascii="Times New Roman;Times;Serif" w:hAnsi="Times New Roman;Times;Serif"/>
          <w:b/>
          <w:i w:val="false"/>
          <w:caps w:val="false"/>
          <w:smallCaps w:val="false"/>
          <w:sz w:val="20"/>
        </w:rPr>
        <w:t>Suite 255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Greenwich, </w:t>
      </w:r>
      <w:bookmarkStart w:id="11" w:name="xdx_90A_edei--EntityAddressStateOrProvin"/>
      <w:bookmarkEnd w:id="11"/>
      <w:r>
        <w:rPr>
          <w:rFonts w:ascii="Times New Roman;Times;Serif" w:hAnsi="Times New Roman;Times;Serif"/>
          <w:b/>
          <w:i w:val="false"/>
          <w:caps w:val="false"/>
          <w:smallCaps w:val="false"/>
          <w:sz w:val="20"/>
        </w:rPr>
        <w:t xml:space="preserve">CT </w:t>
      </w:r>
      <w:bookmarkStart w:id="12" w:name="xdx_909_edei--EntityAddressPostalZipCode"/>
      <w:bookmarkEnd w:id="12"/>
      <w:r>
        <w:rPr>
          <w:rFonts w:ascii="Times New Roman;Times;Serif" w:hAnsi="Times New Roman;Times;Serif"/>
          <w:b/>
          <w:i w:val="false"/>
          <w:caps w:val="false"/>
          <w:smallCaps w:val="false"/>
          <w:sz w:val="20"/>
        </w:rPr>
        <w:t>06830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1_edei--CityAreaCode_c20260820__20"/>
      <w:bookmarkEnd w:id="13"/>
      <w:r>
        <w:rPr>
          <w:rFonts w:ascii="Times New Roman;Times;Serif" w:hAnsi="Times New Roman;Times;Serif"/>
          <w:b/>
          <w:i w:val="false"/>
          <w:caps w:val="false"/>
          <w:smallCaps w:val="false"/>
          <w:sz w:val="20"/>
        </w:rPr>
        <w:t xml:space="preserve">203) </w:t>
      </w:r>
      <w:bookmarkStart w:id="14" w:name="xdx_901_edei--LocalPhoneNumber_c20260820"/>
      <w:bookmarkEnd w:id="14"/>
      <w:r>
        <w:rPr>
          <w:rFonts w:ascii="Times New Roman;Times;Serif" w:hAnsi="Times New Roman;Times;Serif"/>
          <w:b/>
          <w:i w:val="false"/>
          <w:caps w:val="false"/>
          <w:smallCaps w:val="false"/>
          <w:sz w:val="20"/>
        </w:rPr>
        <w:t>983-5275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5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59"/>
        <w:gridCol w:w="60"/>
        <w:gridCol w:w="1883"/>
        <w:gridCol w:w="60"/>
        <w:gridCol w:w="4343"/>
      </w:tblGrid>
      <w:tr>
        <w:trPr/>
        <w:tc>
          <w:tcPr>
            <w:tcW w:w="3859"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83"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343"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859" w:type="dxa"/>
            <w:tcBorders/>
            <w:shd w:fill="CCEEFF" w:val="clear"/>
            <w:tcMar>
              <w:bottom w:w="0" w:type="dxa"/>
            </w:tcMar>
            <w:vAlign w:val="center"/>
          </w:tcPr>
          <w:p>
            <w:pPr>
              <w:pStyle w:val="TableContents"/>
              <w:bidi w:val="0"/>
              <w:spacing w:before="0" w:after="283"/>
              <w:jc w:val="center"/>
              <w:rPr/>
            </w:pPr>
            <w:bookmarkStart w:id="19" w:name="xdx_90B_edei--Security12bTitle_c20260820"/>
            <w:bookmarkEnd w:id="19"/>
            <w:r>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3" w:type="dxa"/>
            <w:tcBorders/>
            <w:shd w:fill="CCEEFF" w:val="clear"/>
            <w:tcMar>
              <w:bottom w:w="0" w:type="dxa"/>
            </w:tcMar>
            <w:vAlign w:val="center"/>
          </w:tcPr>
          <w:p>
            <w:pPr>
              <w:pStyle w:val="TableContents"/>
              <w:bidi w:val="0"/>
              <w:spacing w:before="0" w:after="283"/>
              <w:jc w:val="center"/>
              <w:rPr/>
            </w:pPr>
            <w:bookmarkStart w:id="20" w:name="xdx_90B_edei--TradingSymbol_c20260820__2"/>
            <w:bookmarkEnd w:id="20"/>
            <w:r>
              <w:rPr/>
              <w:t>OXSQ</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3" w:type="dxa"/>
            <w:tcBorders/>
            <w:shd w:fill="CCEEFF" w:val="clear"/>
            <w:tcMar>
              <w:bottom w:w="0" w:type="dxa"/>
            </w:tcMar>
            <w:vAlign w:val="center"/>
          </w:tcPr>
          <w:p>
            <w:pPr>
              <w:pStyle w:val="TableContents"/>
              <w:bidi w:val="0"/>
              <w:spacing w:before="0" w:after="283"/>
              <w:jc w:val="center"/>
              <w:rPr/>
            </w:pPr>
            <w:bookmarkStart w:id="21" w:name="xdx_908_edei--SecurityExchangeName_c2026"/>
            <w:bookmarkEnd w:id="21"/>
            <w:r>
              <w:rPr/>
              <w:t>NASDAQ Global Select Market LLC</w:t>
            </w:r>
          </w:p>
        </w:tc>
      </w:tr>
      <w:tr>
        <w:trPr/>
        <w:tc>
          <w:tcPr>
            <w:tcW w:w="3859" w:type="dxa"/>
            <w:tcBorders/>
            <w:shd w:fill="FFFFFF" w:val="clear"/>
            <w:tcMar>
              <w:bottom w:w="0" w:type="dxa"/>
            </w:tcMar>
            <w:vAlign w:val="center"/>
          </w:tcPr>
          <w:p>
            <w:pPr>
              <w:pStyle w:val="TableContents"/>
              <w:bidi w:val="0"/>
              <w:spacing w:before="0" w:after="283"/>
              <w:jc w:val="center"/>
              <w:rPr/>
            </w:pPr>
            <w:bookmarkStart w:id="22" w:name="xdx_900_edei--Security12bTitle_c20260820"/>
            <w:bookmarkEnd w:id="22"/>
            <w:r>
              <w:rPr/>
              <w:t>5.50% Notes due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3" w:type="dxa"/>
            <w:tcBorders/>
            <w:shd w:fill="FFFFFF" w:val="clear"/>
            <w:tcMar>
              <w:bottom w:w="0" w:type="dxa"/>
            </w:tcMar>
            <w:vAlign w:val="center"/>
          </w:tcPr>
          <w:p>
            <w:pPr>
              <w:pStyle w:val="TableContents"/>
              <w:bidi w:val="0"/>
              <w:spacing w:before="0" w:after="283"/>
              <w:jc w:val="center"/>
              <w:rPr/>
            </w:pPr>
            <w:bookmarkStart w:id="23" w:name="xdx_90C_edei--TradingSymbol_c20260820__2"/>
            <w:bookmarkEnd w:id="23"/>
            <w:r>
              <w:rPr/>
              <w:t>OXSQG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43" w:type="dxa"/>
            <w:tcBorders/>
            <w:shd w:fill="FFFFFF" w:val="clear"/>
            <w:tcMar>
              <w:bottom w:w="0" w:type="dxa"/>
            </w:tcMar>
            <w:vAlign w:val="center"/>
          </w:tcPr>
          <w:p>
            <w:pPr>
              <w:pStyle w:val="TableContents"/>
              <w:bidi w:val="0"/>
              <w:spacing w:before="0" w:after="283"/>
              <w:jc w:val="center"/>
              <w:rPr/>
            </w:pPr>
            <w:bookmarkStart w:id="24" w:name="xdx_903_edei--SecurityExchangeName_c2026"/>
            <w:bookmarkEnd w:id="24"/>
            <w:r>
              <w:rPr/>
              <w:t>NASDAQ Global Select Market LLC</w:t>
            </w:r>
          </w:p>
        </w:tc>
      </w:tr>
      <w:tr>
        <w:trPr/>
        <w:tc>
          <w:tcPr>
            <w:tcW w:w="3859" w:type="dxa"/>
            <w:tcBorders/>
            <w:shd w:fill="CCEEFF" w:val="clear"/>
            <w:tcMar>
              <w:bottom w:w="0" w:type="dxa"/>
            </w:tcMar>
            <w:vAlign w:val="center"/>
          </w:tcPr>
          <w:p>
            <w:pPr>
              <w:pStyle w:val="TableContents"/>
              <w:bidi w:val="0"/>
              <w:spacing w:before="0" w:after="283"/>
              <w:jc w:val="center"/>
              <w:rPr/>
            </w:pPr>
            <w:bookmarkStart w:id="25" w:name="xdx_90F_edei--Security12bTitle_c20260820"/>
            <w:bookmarkEnd w:id="25"/>
            <w:r>
              <w:rPr/>
              <w:t>7.75% Notes due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3" w:type="dxa"/>
            <w:tcBorders/>
            <w:shd w:fill="CCEEFF" w:val="clear"/>
            <w:tcMar>
              <w:bottom w:w="0" w:type="dxa"/>
            </w:tcMar>
            <w:vAlign w:val="center"/>
          </w:tcPr>
          <w:p>
            <w:pPr>
              <w:pStyle w:val="TableContents"/>
              <w:bidi w:val="0"/>
              <w:spacing w:before="0" w:after="283"/>
              <w:jc w:val="center"/>
              <w:rPr/>
            </w:pPr>
            <w:bookmarkStart w:id="26" w:name="xdx_90B_edei--TradingSymbol_c20260820__2"/>
            <w:bookmarkEnd w:id="26"/>
            <w:r>
              <w:rPr/>
              <w:t>OXSQH</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3" w:type="dxa"/>
            <w:tcBorders/>
            <w:shd w:fill="CCEEFF" w:val="clear"/>
            <w:tcMar>
              <w:bottom w:w="0" w:type="dxa"/>
            </w:tcMar>
            <w:vAlign w:val="center"/>
          </w:tcPr>
          <w:p>
            <w:pPr>
              <w:pStyle w:val="TableContents"/>
              <w:bidi w:val="0"/>
              <w:spacing w:before="0" w:after="283"/>
              <w:jc w:val="center"/>
              <w:rPr/>
            </w:pPr>
            <w:bookmarkStart w:id="27" w:name="xdx_904_edei--SecurityExchangeName_c2026"/>
            <w:bookmarkEnd w:id="27"/>
            <w:r>
              <w:rPr/>
              <w:t xml:space="preserve">NASDAQ Global Select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5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Oxford Square Capital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held its Annual Meeting of Stockholders (the “</w:t>
      </w:r>
      <w:r>
        <w:rPr>
          <w:rFonts w:ascii="Times New Roman;Times;Serif" w:hAnsi="Times New Roman;Times;Serif"/>
          <w:b/>
          <w:i/>
          <w:caps w:val="false"/>
          <w:smallCaps w:val="false"/>
          <w:sz w:val="20"/>
        </w:rPr>
        <w:t>Meeting</w:t>
      </w:r>
      <w:r>
        <w:rPr>
          <w:rFonts w:ascii="Times New Roman;Times;Serif" w:hAnsi="Times New Roman;Times;Serif"/>
          <w:b w:val="false"/>
          <w:i w:val="false"/>
          <w:caps w:val="false"/>
          <w:smallCaps w:val="false"/>
          <w:sz w:val="20"/>
        </w:rPr>
        <w:t>”). Set forth below are the proposals voted upon at the Meeting, as set forth in the Company’s Definitive Proxy Statement on Schedule 14A, filed with the U.S. Securities and Exchange Commission on July 8, 2026, and the final voting tabulation reported by the Company’s inspector of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fixed the close of business on June 30, 2026 as the record date for identifying those stockholders entitled to notice of, and to vote at, the Meeting. A total of 105,058,242 shares of the Company’s common stock were entitled to vote at the Meeting. A quorum of the stockholders was present at the Meeting. The final voting results for each of the proposals were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Stockholders elected two nominees for director, who will each serve for a three-year term to expire at the 2029 Annual Meeting of Stockholders based on the following votes:</w:t>
      </w:r>
    </w:p>
    <w:p>
      <w:pPr>
        <w:pStyle w:val="TextBody"/>
        <w:bidi w:val="0"/>
        <w:spacing w:before="0" w:after="0"/>
        <w:ind w:left="0" w:right="0" w:firstLine="720"/>
        <w:jc w:val="both"/>
        <w:rPr>
          <w:caps w:val="false"/>
          <w:smallCaps w:val="false"/>
        </w:rPr>
      </w:pPr>
      <w:r>
        <w:rPr>
          <w:caps w:val="false"/>
          <w:smallCaps w:val="false"/>
        </w:rPr>
        <w:t> </w:t>
      </w:r>
    </w:p>
    <w:tbl>
      <w:tblPr>
        <w:tblW w:w="6755" w:type="dxa"/>
        <w:jc w:val="left"/>
        <w:tblInd w:w="0" w:type="dxa"/>
        <w:tblLayout w:type="fixed"/>
        <w:tblCellMar>
          <w:top w:w="0" w:type="dxa"/>
          <w:left w:w="0" w:type="dxa"/>
          <w:bottom w:w="28" w:type="dxa"/>
          <w:right w:w="0" w:type="dxa"/>
        </w:tblCellMar>
      </w:tblPr>
      <w:tblGrid>
        <w:gridCol w:w="1760"/>
        <w:gridCol w:w="60"/>
        <w:gridCol w:w="60"/>
        <w:gridCol w:w="1520"/>
        <w:gridCol w:w="60"/>
        <w:gridCol w:w="60"/>
        <w:gridCol w:w="60"/>
        <w:gridCol w:w="1400"/>
        <w:gridCol w:w="60"/>
        <w:gridCol w:w="60"/>
        <w:gridCol w:w="60"/>
        <w:gridCol w:w="1520"/>
        <w:gridCol w:w="75"/>
      </w:tblGrid>
      <w:tr>
        <w:trPr/>
        <w:tc>
          <w:tcPr>
            <w:tcW w:w="176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spacing w:before="0" w:after="283"/>
              <w:jc w:val="center"/>
              <w:rPr>
                <w:b/>
              </w:rPr>
            </w:pPr>
            <w:r>
              <w:rPr>
                <w:b/>
              </w:rPr>
              <w:t>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b/>
              </w:rPr>
            </w:pPr>
            <w:r>
              <w:rPr>
                <w:b/>
              </w:rPr>
              <w:t>Broker</w:t>
              <w:br/>
              <w:t>Non-Votes</w:t>
            </w:r>
          </w:p>
        </w:tc>
        <w:tc>
          <w:tcPr>
            <w:tcW w:w="75" w:type="dxa"/>
            <w:tcBorders/>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Steven P. Novak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18,199,599.897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4,309,258.340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33,493,083.000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shd w:fill="FFFFFF" w:val="clear"/>
            <w:tcMar>
              <w:bottom w:w="0" w:type="dxa"/>
            </w:tcMar>
            <w:vAlign w:val="center"/>
          </w:tcPr>
          <w:p>
            <w:pPr>
              <w:pStyle w:val="TableContents"/>
              <w:bidi w:val="0"/>
              <w:spacing w:before="0" w:after="283"/>
              <w:jc w:val="left"/>
              <w:rPr/>
            </w:pPr>
            <w:r>
              <w:rPr/>
              <w:t>Charles M. Royce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18,328,411.687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4,180,446.550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33,493,083.000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Stockholders ratified the appointment of Ernst &amp; Young LLP to serve as the Company’s independent registered public accounting firm for the fiscal year ending December 31, 2026 based on the following votes:</w:t>
      </w:r>
    </w:p>
    <w:p>
      <w:pPr>
        <w:pStyle w:val="TextBody"/>
        <w:bidi w:val="0"/>
        <w:spacing w:before="0" w:after="0"/>
        <w:ind w:left="0" w:right="0" w:firstLine="720"/>
        <w:jc w:val="both"/>
        <w:rPr>
          <w:caps w:val="false"/>
          <w:smallCaps w:val="false"/>
        </w:rPr>
      </w:pPr>
      <w:r>
        <w:rPr>
          <w:caps w:val="false"/>
          <w:smallCaps w:val="false"/>
        </w:rPr>
        <w:t> </w:t>
      </w:r>
    </w:p>
    <w:tbl>
      <w:tblPr>
        <w:tblW w:w="5630" w:type="dxa"/>
        <w:jc w:val="left"/>
        <w:tblInd w:w="0" w:type="dxa"/>
        <w:tblLayout w:type="fixed"/>
        <w:tblCellMar>
          <w:top w:w="0" w:type="dxa"/>
          <w:left w:w="0" w:type="dxa"/>
          <w:bottom w:w="28" w:type="dxa"/>
          <w:right w:w="0" w:type="dxa"/>
        </w:tblCellMar>
      </w:tblPr>
      <w:tblGrid>
        <w:gridCol w:w="1535"/>
        <w:gridCol w:w="60"/>
        <w:gridCol w:w="1400"/>
        <w:gridCol w:w="60"/>
        <w:gridCol w:w="1400"/>
        <w:gridCol w:w="60"/>
        <w:gridCol w:w="1115"/>
      </w:tblGrid>
      <w:tr>
        <w:trPr/>
        <w:tc>
          <w:tcPr>
            <w:tcW w:w="153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b/>
              </w:rPr>
            </w:pPr>
            <w:r>
              <w:rPr>
                <w:b/>
              </w:rPr>
              <w:t>Broker</w:t>
              <w:br/>
              <w:t>Non-Votes</w:t>
            </w:r>
          </w:p>
        </w:tc>
      </w:tr>
      <w:tr>
        <w:trPr/>
        <w:tc>
          <w:tcPr>
            <w:tcW w:w="1535" w:type="dxa"/>
            <w:tcBorders/>
            <w:shd w:fill="CCEEFF" w:val="clear"/>
            <w:tcMar>
              <w:bottom w:w="0" w:type="dxa"/>
            </w:tcMar>
            <w:vAlign w:val="center"/>
          </w:tcPr>
          <w:p>
            <w:pPr>
              <w:pStyle w:val="TableContents"/>
              <w:bidi w:val="0"/>
              <w:spacing w:before="0" w:after="283"/>
              <w:jc w:val="center"/>
              <w:rPr/>
            </w:pPr>
            <w:r>
              <w:rPr/>
              <w:t>52,434,697.847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pPr>
            <w:r>
              <w:rPr/>
              <w:t>2,410,530.970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pPr>
            <w:r>
              <w:rPr/>
              <w:t>1,156,712.420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159" w:type="dxa"/>
        <w:jc w:val="left"/>
        <w:tblInd w:w="0" w:type="dxa"/>
        <w:tblLayout w:type="fixed"/>
        <w:tblCellMar>
          <w:top w:w="0" w:type="dxa"/>
          <w:left w:w="0" w:type="dxa"/>
          <w:bottom w:w="0" w:type="dxa"/>
          <w:right w:w="0" w:type="dxa"/>
        </w:tblCellMar>
      </w:tblPr>
      <w:tblGrid>
        <w:gridCol w:w="2195"/>
        <w:gridCol w:w="690"/>
        <w:gridCol w:w="3274"/>
      </w:tblGrid>
      <w:tr>
        <w:trPr/>
        <w:tc>
          <w:tcPr>
            <w:tcW w:w="2195" w:type="dxa"/>
            <w:tcBorders/>
            <w:vAlign w:val="center"/>
          </w:tcPr>
          <w:p>
            <w:pPr>
              <w:pStyle w:val="TableContents"/>
              <w:bidi w:val="0"/>
              <w:spacing w:before="0" w:after="283"/>
              <w:jc w:val="both"/>
              <w:rPr/>
            </w:pPr>
            <w:r>
              <w:rPr/>
              <w:t>Date: August 20, 2026</w:t>
            </w:r>
          </w:p>
        </w:tc>
        <w:tc>
          <w:tcPr>
            <w:tcW w:w="3964" w:type="dxa"/>
            <w:gridSpan w:val="2"/>
            <w:tcBorders/>
            <w:vAlign w:val="center"/>
          </w:tcPr>
          <w:p>
            <w:pPr>
              <w:pStyle w:val="TableContents"/>
              <w:bidi w:val="0"/>
              <w:spacing w:before="0" w:after="283"/>
              <w:jc w:val="both"/>
              <w:rPr/>
            </w:pPr>
            <w:r>
              <w:rPr/>
              <w:t>OXFORD SQUARE CAPITAL CORP.</w:t>
            </w:r>
          </w:p>
        </w:tc>
      </w:tr>
      <w:tr>
        <w:trPr/>
        <w:tc>
          <w:tcPr>
            <w:tcW w:w="219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3274"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xml:space="preserve">By: </w:t>
            </w:r>
          </w:p>
        </w:tc>
        <w:tc>
          <w:tcPr>
            <w:tcW w:w="3274" w:type="dxa"/>
            <w:tcBorders>
              <w:bottom w:val="single" w:sz="8" w:space="0" w:color="000000"/>
            </w:tcBorders>
            <w:tcMar>
              <w:bottom w:w="28" w:type="dxa"/>
            </w:tcMar>
            <w:vAlign w:val="center"/>
          </w:tcPr>
          <w:p>
            <w:pPr>
              <w:pStyle w:val="TableContents"/>
              <w:bidi w:val="0"/>
              <w:spacing w:before="0" w:after="283"/>
              <w:jc w:val="left"/>
              <w:rPr/>
            </w:pPr>
            <w:r>
              <w:rPr/>
              <w:t>/s/ Saul B. Rosenthal</w:t>
            </w:r>
          </w:p>
        </w:tc>
      </w:tr>
      <w:tr>
        <w:trPr/>
        <w:tc>
          <w:tcPr>
            <w:tcW w:w="219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3274" w:type="dxa"/>
            <w:tcBorders/>
            <w:vAlign w:val="center"/>
          </w:tcPr>
          <w:p>
            <w:pPr>
              <w:pStyle w:val="TableContents"/>
              <w:bidi w:val="0"/>
              <w:spacing w:before="0" w:after="283"/>
              <w:jc w:val="left"/>
              <w:rPr/>
            </w:pPr>
            <w:r>
              <w:rPr/>
              <w:t>Saul B. Rosenthal</w:t>
            </w:r>
          </w:p>
        </w:tc>
      </w:tr>
      <w:tr>
        <w:trPr/>
        <w:tc>
          <w:tcPr>
            <w:tcW w:w="219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3274" w:type="dxa"/>
            <w:tcBorders/>
            <w:vAlign w:val="center"/>
          </w:tcPr>
          <w:p>
            <w:pPr>
              <w:pStyle w:val="TableContents"/>
              <w:bidi w:val="0"/>
              <w:spacing w:before="0" w:after="283"/>
              <w:jc w:val="left"/>
              <w:rPr/>
            </w:pPr>
            <w:r>
              <w:rPr/>
              <w:t>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3238</Characters>
  <CharactersWithSpaces>3848</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