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Securities Act File No. 333-290511</w:t>
      </w:r>
    </w:p>
    <w:p>
      <w:pPr>
        <w:spacing w:after="0" w:line="20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Prospectus dated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142875</wp:posOffset>
            </wp:positionV>
            <wp:extent cx="65151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Oxford Square Capital Corp.</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$150,000,000</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24" w:lineRule="exact"/>
        <w:rPr>
          <w:sz w:val="24"/>
          <w:szCs w:val="24"/>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operate as a closed-end management investment company and have elected to be regulated as a business development company, or “BDC,” under the Investment Company Act of 1940, as amended, or the “1940 Act.” Our investment objective is to maximize our portfolio’s total return. Our primary focus is to seek an attractive risk-adjusted total return by investing primarily in corporate debt securities and, to a lesser extent, collateralized loan obligation, or “CLO,” structured finance investments that own corporate debt securities. CLO investments may also include warehouse facilities, which are financing structures intended to aggregate loans that may be used to form the basis of a traditional CLO vehicle. We may also invest in publicly traded debt and/or equity securities. </w:t>
      </w:r>
      <w:r>
        <w:rPr>
          <w:rFonts w:ascii="Times New Roman" w:cs="Times New Roman" w:eastAsia="Times New Roman" w:hAnsi="Times New Roman"/>
          <w:sz w:val="18"/>
          <w:szCs w:val="18"/>
          <w:b w:val="1"/>
          <w:bCs w:val="1"/>
          <w:color w:val="auto"/>
        </w:rPr>
        <w:t>The portfolio companies in which we invest, however, will generally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in a rising interest rate environment, heightening the risk that we may lose all or part of our investment. The CLO vehicles in which we invest are formed by raising various classes or “tranches” of debt (with the most senior tranches being rated “AAA” to the most junior tranches typically being rated “BB” or “B”) and equity. The tranches of CLO vehicles rated “BB” or “B” may be referred to as “junk.” The equity of a CLO vehicle, which is the most common tranche of a CLO vehicle in which we invest, is generally required to absorb the CLO’s losses before any of the CLO’s other tranches and it also has the lowest level of payment priority among the CLO’s tranches; therefore, the equity is typically the riskiest of CLO investments.</w:t>
      </w:r>
    </w:p>
    <w:p>
      <w:pPr>
        <w:spacing w:after="0" w:line="107" w:lineRule="exact"/>
        <w:rPr>
          <w:sz w:val="24"/>
          <w:szCs w:val="24"/>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an Amended and Restated Equity Distribution Agreement, dated August 16, 2024, as amended by Amendment No. 1 on May 5, 2026 (collectively, the “Amended Equity Distribution Agreement”), with Lucid Capital Markets, LLC and Ladenburg Thalmann &amp; Co. Inc. (the “Distribution Agents”) relating to the shares of common stock offered by this prospectus supplement and the accompanying base prospectus dated April 29, 2026 (collectively, the “Prospectus”).</w:t>
      </w:r>
    </w:p>
    <w:p>
      <w:pPr>
        <w:spacing w:after="0" w:line="116" w:lineRule="exact"/>
        <w:rPr>
          <w:sz w:val="24"/>
          <w:szCs w:val="24"/>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Amended Equity Distribution Agreement provides that we may offer and sell shares of our common stock having an aggregate offering price of up to $150,000,000 from time to time through our Distribution Agents. From August 1, 2019 to April 30, 2026, we sold a total of 37,794,797 shares of common stock pursuant to the “at-the-market” offering. The total amount of capital raised as a result of these sales of common stock was approximately $96.0 million and net proceeds were approximately $94.1 million, after deducting the sales agents’ commissions and offering expenses. Sales of our common stock, if any, under this Prospectus may be made in negotiated transactions or transactions that are deemed to be “at the market,” as defined in Rule 415 under the Securities Act of 1933, as amended (the “Securities Act”), including sales made directly on the NASDAQ Global Select Market or similar securities exchange or sales made to or through a market maker other than on an exchange, at prices related to the prevailing market prices or at negotiated prices.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Distribution Agents will receive a commission from us equal to the lesser of (i) 2.0% of the gross sales price per share from such sale and (ii) the difference between the gross sale price per share from such sale and our most recently determined net asset value per share, with respect to any shares of our common stock sold through the Distribution Agents under the Amended Equity Distribution Agreement. The Distribution Agents are not required to sell any specific number or dollar amount of common stock, but will use their commercially reasonable efforts consistent with their sales and trading practices to sell the shares of our common stock offered by this Prospectus, under the terms and subject to the conditions set forth in the Amended Equity Distribution Agreement. See “Plan of Distribution” beginning on page S-12 of this prospectus supplement. The sales price per share of our common stock offered by this Prospectus, less the Distribution Agents’ commissions, will not be less than the net asset value per share of our common stock at the time of such sale.</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“OXSQ.” On April 30, 2026, the last reported sales price on the NASDAQ Global Select Market for our common stock was $1.93 per share, which was at a premium of 46.2% to the net asset value per share of our common stock as of March 31, 2026. We are required to determine the net asset value per share of our common stock on a quarterly basis. Our net asset value per share of our common stock as of March 31, 2026 was $1.32.</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Shares of closed-end investment companies, including business development companies, frequently trade at a discount to their net asset value. If our shares trade at a discount to our net asset value after this offering, it will likely increase the risk of loss for purchasers in this offering. Investing in our securities involves a high degree of risk. Before buying any securities, you should read the discussion of the material risks of investing in our common stock, including the risk of leverage and dilution, in “Risks Factors” beginning on page </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b w:val="1"/>
          <w:bCs w:val="1"/>
          <w:color w:val="auto"/>
        </w:rPr>
        <w:t xml:space="preserve"> of the accompanying prospectus or otherwise included in or incorporated by reference herein or the accompanying prospectus and in any free writing prospectuses we have authorized for use in connection with this offering, and under similar headings in the other documents that are incorporated by reference into this Prospectus.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Please read this Prospectus and the documents incorporated by reference into this Prospectus before investing in our common stock, and keep each for future reference. This Prospectus and the documents incorporated by reference into this Prospectus contain important information about us that a prospective investor should know before investing in our common stock. We are required to file annual, quarterly and current reports, proxy statements, and other information about us with the Securities and Exchange Commission (the “SEC”). This information is available free of charge by contacting us by mail at 8 Sound Shore Drive, Suite 255, Greenwich, CT 06830, by telephone at (203) 983-5275 or on our website at </w:t>
      </w:r>
      <w:r>
        <w:rPr>
          <w:rFonts w:ascii="Times New Roman" w:cs="Times New Roman" w:eastAsia="Times New Roman" w:hAnsi="Times New Roman"/>
          <w:sz w:val="18"/>
          <w:szCs w:val="18"/>
          <w:i w:val="1"/>
          <w:iCs w:val="1"/>
          <w:color w:val="auto"/>
        </w:rPr>
        <w:t>http://www.oxfordsquarecapital.com</w:t>
      </w:r>
      <w:r>
        <w:rPr>
          <w:rFonts w:ascii="Times New Roman" w:cs="Times New Roman" w:eastAsia="Times New Roman" w:hAnsi="Times New Roman"/>
          <w:sz w:val="18"/>
          <w:szCs w:val="18"/>
          <w:color w:val="auto"/>
        </w:rPr>
        <w:t>. The SEC also maintains a website at</w:t>
      </w:r>
      <w:r>
        <w:rPr>
          <w:rFonts w:ascii="Times New Roman" w:cs="Times New Roman" w:eastAsia="Times New Roman" w:hAnsi="Times New Roman"/>
          <w:sz w:val="18"/>
          <w:szCs w:val="18"/>
          <w:i w:val="1"/>
          <w:iCs w:val="1"/>
          <w:color w:val="auto"/>
        </w:rPr>
        <w:t xml:space="preserve"> http://www.sec.gov </w:t>
      </w:r>
      <w:r>
        <w:rPr>
          <w:rFonts w:ascii="Times New Roman" w:cs="Times New Roman" w:eastAsia="Times New Roman" w:hAnsi="Times New Roman"/>
          <w:sz w:val="18"/>
          <w:szCs w:val="18"/>
          <w:color w:val="auto"/>
        </w:rPr>
        <w:t>that contains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Information contained on our website is not incorporated by reference into this Prospectus, and you should not consider that information to be part of this Prospectus, except documents incorporated by reference into this Prospectus.</w:t>
      </w:r>
    </w:p>
    <w:p>
      <w:pPr>
        <w:spacing w:after="0" w:line="120"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other regulatory body has approved or disapproved of these securities or determined if either this Prospectus is truthful or complete. Any representation to the contrary is a criminal offense.</w:t>
      </w:r>
    </w:p>
    <w:p>
      <w:pPr>
        <w:spacing w:after="0" w:line="123" w:lineRule="exact"/>
        <w:rPr>
          <w:sz w:val="20"/>
          <w:szCs w:val="20"/>
          <w:color w:val="auto"/>
        </w:rPr>
      </w:pPr>
    </w:p>
    <w:p>
      <w:pPr>
        <w:ind w:left="1200"/>
        <w:spacing w:after="0"/>
        <w:tabs>
          <w:tab w:leader="none" w:pos="5320" w:val="left"/>
        </w:tabs>
        <w:rPr>
          <w:sz w:val="20"/>
          <w:szCs w:val="20"/>
          <w:color w:val="auto"/>
        </w:rPr>
      </w:pPr>
      <w:r>
        <w:rPr>
          <w:rFonts w:ascii="Times New Roman" w:cs="Times New Roman" w:eastAsia="Times New Roman" w:hAnsi="Times New Roman"/>
          <w:sz w:val="25"/>
          <w:szCs w:val="25"/>
          <w:b w:val="1"/>
          <w:bCs w:val="1"/>
          <w:color w:val="auto"/>
        </w:rPr>
        <w:t>Lucid Capital Markets</w:t>
      </w:r>
      <w:r>
        <w:rPr>
          <w:sz w:val="20"/>
          <w:szCs w:val="20"/>
          <w:color w:val="auto"/>
        </w:rPr>
        <w:tab/>
      </w:r>
      <w:r>
        <w:rPr>
          <w:rFonts w:ascii="Times New Roman" w:cs="Times New Roman" w:eastAsia="Times New Roman" w:hAnsi="Times New Roman"/>
          <w:sz w:val="25"/>
          <w:szCs w:val="25"/>
          <w:b w:val="1"/>
          <w:bCs w:val="1"/>
          <w:color w:val="auto"/>
        </w:rPr>
        <w:t>Ladenburg Thalmann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FEES AND EXPENSES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PRICE RANGE OF COMMON STOCK AND DISTRIBUTIONS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3"/>
              </w:rPr>
              <w:t>S-11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AVAILABLE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S-16</w:t>
            </w:r>
          </w:p>
        </w:tc>
      </w:tr>
      <w:tr>
        <w:trPr>
          <w:trHeight w:val="493"/>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20" w:type="dxa"/>
            <w:vAlign w:val="bottom"/>
          </w:tcPr>
          <w:p>
            <w:pPr>
              <w:spacing w:after="0"/>
              <w:rPr>
                <w:sz w:val="24"/>
                <w:szCs w:val="24"/>
                <w:color w:val="auto"/>
              </w:rPr>
            </w:pPr>
          </w:p>
        </w:tc>
      </w:tr>
      <w:tr>
        <w:trPr>
          <w:trHeight w:val="426"/>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FEES AND EXPENSES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FINANCIAL HIGHLIGHTS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PRICE RANGE OF COMMON STOCK AND DISTRIBUTIONS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6680" w:type="dxa"/>
            <w:vAlign w:val="bottom"/>
            <w:tcBorders>
              <w:bottom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SENIOR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PORTFOLIO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PORTFOLIO 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 AND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RELATED-PARTY TRANSACTIONS AND CERTAIN RELATIONSHIPS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CONTROL PERSONS AND PRINCIPAL SHAREHOLDERS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DISTRIBUTION REINVESTMENT PLAN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CUSTODIAN, TRANSFER AND DISTRIBUTION PAYING AGENT AND REGISTRAR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3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AVAILABLE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5180" w:type="dxa"/>
            <w:vAlign w:val="bottom"/>
            <w:tcBorders>
              <w:bottom w:val="single" w:sz="8" w:color="0000EE"/>
            </w:tcBorders>
            <w:gridSpan w:val="31"/>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100" w:type="dxa"/>
            <w:vAlign w:val="bottom"/>
            <w:gridSpan w:val="5"/>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55"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(File No. 333-290511) utilizing a shelf registration process relating to the securities described in this prospectus supplement, which registration statement was declared effective on April 29, 2026.</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terms of this offering and also adds to and updates information contained in the accompanying prospectus. The second part is the accompanying prospectus, which gives more general information and disclosure. To the extent the information contained in this prospectus supplement differs from or is additional to the information contained in the accompanying prospectus, you should rely only on the information contained in this prospectus supplement and the documents incorporated by reference herein. Please carefully read and consider all of the information contained in this Prospectus, including the information described under the headings “Incorporation of Certain Information by Reference” and “Available Information” in this prospectus supplement and under the headings “Incorporation of Certain Information by Reference,” “Available Information” and “Risk Factors” included in the accompanying prospectus, respectively, before investing in our common stock.</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Neither we nor the Distribution Agents has authorized any dealer, salesman or other person to give any information or to make any representation other than those contained in or incorporated by reference into this Prospectus or in any free writing prospectus prepared by or on behalf of us that relates to this offering. If anyone provides you with different or inconsistent information, you should not rely on it. This Prospectus does not constitute an offer to sell or a solicitation of an offer to buy any securities in any jurisdiction or to any person to whom it is unlawful to make such an offer or solicitation in such jurisdiction. The information contained in or incorporated by reference into this Prospectus is accurate as of their respective dates or such earlier date as indicated therein, regardless of the time of delivery of this Prospectus or any sales of the securities. Our financial condition, results of operations and prospects may have changed since those dates. To the extent required by law, we will amend or supplement the information contained in or incorporated by reference into this Prospectus to reflect any material changes subsequent to the date of this Prospectus and prior to the completion of any offering pursuant to this Prospectus.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13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following summary contains basic information about this offering included elsewhere, or incorporated by reference, in this Prospectus. It is not complete and may not contain all the information that is important to you. For a more complete understanding of this offering pursuant to this prospectus supplement, we encourage you to read this entire Prospectus, including the documents incorporated by reference herein or therein, as well as the documents to which we have referred in this Prospectus. Together, these documents describe the specific terms of this offering. You should carefully read “Management’s Discussion and Analysis of Financial Condition and Results of Operations” in Part II, Item 7 of our most recent Annual Report on Form 10-K, and in Part 1, Item 2 of our most recent Quarterly Report on Form 10-Q for more information and the sections titled “Risk Factors,” “Business” and “Incorporation of Certain Information by Reference” included in the accompanying prospectus and “Incorporation of Certain Information by Reference” in this prospectus supplement.</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Except where the context requires otherwise, the terms “OXSQ,” “Company,” “we,” “us” and “our” refer to Oxford Square Capital Corp.; “Oxford Square Management” refers to Oxford Square Management, LLC; and “Oxford Funds” refers to Oxford Funds, LLC.</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closed-end management investment company that has elected to be regulated as a business development company, or “BDC,” under the Investment Company Act of 1940, as amended, or the “1940 Act.” We have elected to be treated for tax purposes as a regulated investment company, or “RIC,” under Subchapter M of the Internal Revenue Code of 1986, as amended, or the “Code,” beginning with our 2003 taxable year. Our investment objective is to maximize our portfolio’s total return. Our primary current focus is to seek an attractive risk-adjusted total return by investing primarily in corporate debt securities and, to a lesser extent, collateralized loan obligation, or “CLO,”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As a BDC, we may not acquire any asset other than “qualifying assets” unless, at the time we make the acquisition, the value of our qualifying assets represents at least 70% of the value of our total assets.</w:t>
      </w:r>
    </w:p>
    <w:p>
      <w:pPr>
        <w:spacing w:after="0" w:line="12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capital is generally used by our corporate borrowers to finance organic growth, acquisitions, recapitalizations and working capital. Our investment decisions are based on extensive analysis of potential portfolio companies’ business operations supported by an in-depth understanding of the quality of their recurring revenues and cash flow, variability of costs and the inherent value of their assets, including proprietary intangible assets and intellectual property. In making our CLO investments, we consider the indenture structure for that vehicle, its operating characteristics and compliance with its various indenture provisions, as well as its corporate loan-based collateral pool.</w:t>
      </w:r>
    </w:p>
    <w:p>
      <w:pPr>
        <w:spacing w:after="0" w:line="12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generally expect to invest between $5.0 million and $25.0 million in each of our portfolio investments, although this investment size may vary as the size of our capital base changes and market conditions warrant. We invest in both fixed and variable interest rate structures. We expect that our investment portfolio will be diversified among a large number of investments with few investments, if any, exceeding 5% of the total portfolio.</w:t>
      </w:r>
    </w:p>
    <w:p>
      <w:pPr>
        <w:spacing w:after="0" w:line="10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structures of our investments will vary and we seek to invest across a wide range of different industries. We seek to invest in entities that, as a general matter, have been operating for at least one year prior to the date of our investment and that will, at the time of our investment, have employees and revenues, and which are cash flow positive. Many of these companies are expected to have financial backing provided by other financial or strategic sponsors at the time we make an investment. The portfolio companies in which we invest, however, will 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heightening the risk that we may lose all or part of our investment.</w:t>
      </w:r>
    </w:p>
    <w:p>
      <w:pPr>
        <w:spacing w:after="0" w:line="12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also purchase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or “Senior Loans,” and, to a limited extent, subordinated and/or unsecured loans and bonds (together with the Senior Loans, the “CLO Assets”).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w:t>
      </w:r>
    </w:p>
    <w:p>
      <w:pPr>
        <w:spacing w:after="0" w:line="12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have historically borrowed funds to make investments and may continue to do so.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advisory fee payable to our investment adviser, Oxford Square Management, will be borne by our common stockholders.</w:t>
      </w:r>
    </w:p>
    <w:p>
      <w:pPr>
        <w:spacing w:after="0" w:line="10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See “Business” in Part I, Item 1 in our most recent Annual Report on Form 10-K for additional information about us and Oxford Square Management.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5.50% Unsecured Notes due 2028 (the “5.50% Unsecured Notes”)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On May 20, 2021, we completed an underwritten public offering of approximately $80.5 million in aggregate principal amount of the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7.75% Unsecured Notes due 2030 (the “7.75% Unsecured Notes”)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On August 7, 2025, we completed an underwritten public offering of approximately $74.8 million in aggregate principal amount of the 7.75% Unsecured Notes. The 7.75% Unsecured Notes will mature on July 31, 2030, and may be redeemed in whole or in part at any time or from time to time at our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Organizational and Regulatory Structure</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investment activities are managed by Oxford Square Management. Oxford Square Management is an investment adviser registered under the Investment Advisers Act of 1940, as amended, or the “Advisers Act.” Oxford Square Management is owned by Oxford Funds, its managing member, and Charles M. Royce, a member of our Board of Directors, who holds a minority, non-controlling interest in Oxford Square Management. Jonathan H. Cohen, our Chief Executive Officer, and Saul B. Rosenthal, our President and Chief Operating Officer, directly or indirectly own or control all of the outstanding equity interests of Oxford Funds. Under the investment advisory agreement, or the “Investment Advisory Agreement,” we have agreed to pay Oxford Square Management an annual base management fee based on our gross assets as well as an incentive fee based on our performance. See “Management and Other Agreements” in the accompanying prospectus.</w:t>
      </w:r>
    </w:p>
    <w:p>
      <w:pPr>
        <w:sectPr>
          <w:pgSz w:w="11900" w:h="16838" w:orient="portrait"/>
          <w:cols w:equalWidth="0" w:num="1">
            <w:col w:w="9019"/>
          </w:cols>
          <w:pgMar w:left="1440" w:top="270" w:right="1440"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853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685355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were founded in July 2003 and completed an initial public offering of shares of our common stock in November 2003. We are a Maryland corporation and a closed-end management investment company that has elected to be regulated as a BDC under the 1940 Act. As a BDC, we are required to meet certain regulatory tests, including the requirement to invest at least 70% of our total assets in eligible portfolio companies. For more information, see “Item 1. Business — Regulation as a Business Development Company” in our most recent Annual Report on Form 10-K. In addition, we have elected to be treated for U.S. federal income tax purposes, and intend to qualify annually, as a RIC under Subchapter M of the Code.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Set forth below is a chart detailing our current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From August 1, 2019 to April 30, 2026, we sold a total of 37,794,797 shares of common stock pursuant to the “at-the-market” offering. The total amount of capital raised as a result of these sales of common stock was approximately $96.0 million and net proceeds were approximately $94.1 million, after deducting the sales agents’ commissions and offering expenses.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offices are located at 8 Sound Shore Drive, Suite 255, Greenwich, Connecticut 06830, and our telephone number is (203) 983-5275.</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of 1933, as amended, or the “Securities Act.” The registration statement contains additional information about us and the securities being offered by this prospectus supplement.</w:t>
      </w:r>
    </w:p>
    <w:p>
      <w:pPr>
        <w:spacing w:after="0" w:line="9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Securities Exchange Act of 1934, as amended, or the “Exchange Act”. The information we file with the SEC is available free of charge by contacting us at 8 Sound Shore Drive, Suite 255, Greenwich, CT 06830, by telephone at (203) 983-5275 or on our website at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Information contained on our website, or on the SEC’s web site about us, is not incorporated into this prospectus and you should not consider information contained on our website or on the SEC’s website to be part of this prospectus.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88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9288145"/>
                    </a:xfrm>
                    <a:prstGeom prst="rect">
                      <a:avLst/>
                    </a:prstGeom>
                    <a:noFill/>
                  </pic:spPr>
                </pic:pic>
              </a:graphicData>
            </a:graphic>
          </wp:anchor>
        </w:drawing>
      </w:r>
    </w:p>
    <w:p>
      <w:pPr>
        <w:sectPr>
          <w:pgSz w:w="11900" w:h="16838" w:orient="portrait"/>
          <w:cols w:equalWidth="0" w:num="1">
            <w:col w:w="9019"/>
          </w:cols>
          <w:pgMar w:left="1440" w:top="270" w:right="1440" w:bottom="796"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Shares of our common stock having an aggregate offering price of</w:t>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up to $150,000,000.</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Common stock outstanding as of</w:t>
      </w:r>
    </w:p>
    <w:p>
      <w:pPr>
        <w:spacing w:after="0" w:line="27" w:lineRule="exact"/>
        <w:rPr>
          <w:sz w:val="20"/>
          <w:szCs w:val="20"/>
          <w:color w:val="auto"/>
        </w:rPr>
      </w:pPr>
    </w:p>
    <w:p>
      <w:pPr>
        <w:ind w:left="720"/>
        <w:spacing w:after="0"/>
        <w:tabs>
          <w:tab w:leader="none" w:pos="3580" w:val="left"/>
        </w:tabs>
        <w:rPr>
          <w:sz w:val="20"/>
          <w:szCs w:val="20"/>
          <w:color w:val="auto"/>
        </w:rPr>
      </w:pPr>
      <w:r>
        <w:rPr>
          <w:rFonts w:ascii="Times New Roman" w:cs="Times New Roman" w:eastAsia="Times New Roman" w:hAnsi="Times New Roman"/>
          <w:sz w:val="18"/>
          <w:szCs w:val="18"/>
          <w:color w:val="auto"/>
        </w:rPr>
        <w:t>April 30, 2026</w:t>
      </w:r>
      <w:r>
        <w:rPr>
          <w:sz w:val="20"/>
          <w:szCs w:val="20"/>
          <w:color w:val="auto"/>
        </w:rPr>
        <w:tab/>
      </w:r>
      <w:r>
        <w:rPr>
          <w:rFonts w:ascii="Times New Roman" w:cs="Times New Roman" w:eastAsia="Times New Roman" w:hAnsi="Times New Roman"/>
          <w:sz w:val="17"/>
          <w:szCs w:val="17"/>
          <w:color w:val="auto"/>
        </w:rPr>
        <w:t>93,527,087 shares.</w:t>
      </w:r>
    </w:p>
    <w:p>
      <w:pPr>
        <w:spacing w:after="0" w:line="180"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Manner of offering</w:t>
      </w:r>
      <w:r>
        <w:rPr>
          <w:sz w:val="20"/>
          <w:szCs w:val="20"/>
          <w:color w:val="auto"/>
        </w:rPr>
        <w:tab/>
      </w:r>
      <w:r>
        <w:rPr>
          <w:rFonts w:ascii="Times New Roman" w:cs="Times New Roman" w:eastAsia="Times New Roman" w:hAnsi="Times New Roman"/>
          <w:sz w:val="18"/>
          <w:szCs w:val="18"/>
          <w:color w:val="auto"/>
        </w:rPr>
        <w:t>“At the market” offering that may be made from time to time</w:t>
      </w:r>
    </w:p>
    <w:p>
      <w:pPr>
        <w:spacing w:after="0" w:line="27" w:lineRule="exact"/>
        <w:rPr>
          <w:sz w:val="20"/>
          <w:szCs w:val="20"/>
          <w:color w:val="auto"/>
        </w:rPr>
      </w:pPr>
    </w:p>
    <w:p>
      <w:pPr>
        <w:ind w:left="3600" w:right="579"/>
        <w:spacing w:after="0" w:line="260" w:lineRule="auto"/>
        <w:rPr>
          <w:sz w:val="20"/>
          <w:szCs w:val="20"/>
          <w:color w:val="auto"/>
        </w:rPr>
      </w:pPr>
      <w:r>
        <w:rPr>
          <w:rFonts w:ascii="Times New Roman" w:cs="Times New Roman" w:eastAsia="Times New Roman" w:hAnsi="Times New Roman"/>
          <w:sz w:val="18"/>
          <w:szCs w:val="18"/>
          <w:color w:val="auto"/>
        </w:rPr>
        <w:t>through our Distribution Agents using commercially reasonable efforts. See “Plan of Distribution.”</w:t>
      </w:r>
    </w:p>
    <w:p>
      <w:pPr>
        <w:spacing w:after="0" w:line="154"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intend to use the net proceeds from this offering to primarily</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fund investments in accordance with our investment objective and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other general corporate purposes. Pending these uses, we will</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invest such net proceeds in temporary investments which primarily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include cash, cash equivalents, and U.S. government securities and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other high-quality debt investments that mature in one year or less,</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which are consistent with maintaining our election as a RIC. These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temporary investments are expected to provide a lower net return</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than  we  hope  to  achieve  from  our  target  investments.  The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management fee payable by us to our investment adviser will not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be reduced while our assets are invested in such temporary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investments. See “Use of Proceeds.”</w:t>
      </w:r>
    </w:p>
    <w:p>
      <w:pPr>
        <w:spacing w:after="0" w:line="180"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Distribution</w:t>
      </w:r>
      <w:r>
        <w:rPr>
          <w:sz w:val="20"/>
          <w:szCs w:val="20"/>
          <w:color w:val="auto"/>
        </w:rPr>
        <w:tab/>
      </w:r>
      <w:r>
        <w:rPr>
          <w:rFonts w:ascii="Times New Roman" w:cs="Times New Roman" w:eastAsia="Times New Roman" w:hAnsi="Times New Roman"/>
          <w:sz w:val="18"/>
          <w:szCs w:val="18"/>
          <w:color w:val="auto"/>
        </w:rPr>
        <w:t>To the extent that we have income available, we intend to</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distribute monthly distributions to our stockholders. The amount of</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our distributions, if any, will be determined by our board of</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directors. Any distributions to our stockholders will be declared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out of assets legally available for distribution. See “Price Range of</w:t>
      </w:r>
    </w:p>
    <w:p>
      <w:pPr>
        <w:spacing w:after="0" w:line="9" w:lineRule="exact"/>
        <w:rPr>
          <w:sz w:val="20"/>
          <w:szCs w:val="20"/>
          <w:color w:val="auto"/>
        </w:rPr>
      </w:pPr>
    </w:p>
    <w:p>
      <w:pPr>
        <w:ind w:left="3600"/>
        <w:spacing w:after="0"/>
        <w:tabs>
          <w:tab w:leader="none" w:pos="4420" w:val="left"/>
          <w:tab w:leader="none" w:pos="5020" w:val="left"/>
          <w:tab w:leader="none" w:pos="5460" w:val="left"/>
          <w:tab w:leader="none" w:pos="6660" w:val="left"/>
          <w:tab w:leader="none" w:pos="6980" w:val="left"/>
          <w:tab w:leader="none" w:pos="7380" w:val="left"/>
        </w:tabs>
        <w:rPr>
          <w:sz w:val="20"/>
          <w:szCs w:val="20"/>
          <w:color w:val="auto"/>
        </w:rPr>
      </w:pPr>
      <w:r>
        <w:rPr>
          <w:rFonts w:ascii="Times New Roman" w:cs="Times New Roman" w:eastAsia="Times New Roman" w:hAnsi="Times New Roman"/>
          <w:sz w:val="18"/>
          <w:szCs w:val="18"/>
          <w:color w:val="auto"/>
        </w:rPr>
        <w:t>Common</w:t>
        <w:tab/>
        <w:t>Stock</w:t>
        <w:tab/>
        <w:t>and</w:t>
        <w:tab/>
        <w:t>Distributions”</w:t>
        <w:tab/>
        <w:t>in</w:t>
        <w:tab/>
        <w:t>the</w:t>
      </w:r>
      <w:r>
        <w:rPr>
          <w:sz w:val="20"/>
          <w:szCs w:val="20"/>
          <w:color w:val="auto"/>
        </w:rPr>
        <w:tab/>
      </w:r>
      <w:r>
        <w:rPr>
          <w:rFonts w:ascii="Times New Roman" w:cs="Times New Roman" w:eastAsia="Times New Roman" w:hAnsi="Times New Roman"/>
          <w:sz w:val="17"/>
          <w:szCs w:val="17"/>
          <w:color w:val="auto"/>
        </w:rPr>
        <w:t>accompanying</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prospectus.</w:t>
      </w:r>
    </w:p>
    <w:p>
      <w:pPr>
        <w:spacing w:after="0" w:line="180"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Taxation</w:t>
      </w:r>
      <w:r>
        <w:rPr>
          <w:sz w:val="20"/>
          <w:szCs w:val="20"/>
          <w:color w:val="auto"/>
        </w:rPr>
        <w:tab/>
      </w:r>
      <w:r>
        <w:rPr>
          <w:rFonts w:ascii="Times New Roman" w:cs="Times New Roman" w:eastAsia="Times New Roman" w:hAnsi="Times New Roman"/>
          <w:sz w:val="18"/>
          <w:szCs w:val="18"/>
          <w:color w:val="auto"/>
        </w:rPr>
        <w:t>We have elected to be treated for U.S. federal income tax purposes</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as a RIC under Subchapter M of the Code. As a RIC, we generally</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do not have to pay corporate-level U.S. federal income taxes on</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any ordinary income or capital gains that we distribute (or are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deemed to distribute) to our stockholders as distributions. To</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maintain our RIC tax treatment, we must meet specified source-of-</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income  and  asset  diversification  requirements  and  distribute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annually at least 90% of our ordinary income and realized net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short-term capital gains in excess of realized net long-term capital</w:t>
      </w:r>
    </w:p>
    <w:p>
      <w:pPr>
        <w:spacing w:after="0" w:line="9" w:lineRule="exact"/>
        <w:rPr>
          <w:sz w:val="20"/>
          <w:szCs w:val="20"/>
          <w:color w:val="auto"/>
        </w:rPr>
      </w:pPr>
    </w:p>
    <w:p>
      <w:pPr>
        <w:ind w:left="3600"/>
        <w:spacing w:after="0"/>
        <w:tabs>
          <w:tab w:leader="none" w:pos="4220" w:val="left"/>
          <w:tab w:leader="none" w:pos="4520" w:val="left"/>
          <w:tab w:leader="none" w:pos="5000" w:val="left"/>
          <w:tab w:leader="none" w:pos="5440" w:val="left"/>
          <w:tab w:leader="none" w:pos="6220" w:val="left"/>
          <w:tab w:leader="none" w:pos="6720" w:val="left"/>
          <w:tab w:leader="none" w:pos="7440" w:val="left"/>
          <w:tab w:leader="none" w:pos="8160" w:val="left"/>
        </w:tabs>
        <w:rPr>
          <w:sz w:val="20"/>
          <w:szCs w:val="20"/>
          <w:color w:val="auto"/>
        </w:rPr>
      </w:pPr>
      <w:r>
        <w:rPr>
          <w:rFonts w:ascii="Times New Roman" w:cs="Times New Roman" w:eastAsia="Times New Roman" w:hAnsi="Times New Roman"/>
          <w:sz w:val="18"/>
          <w:szCs w:val="18"/>
          <w:color w:val="auto"/>
        </w:rPr>
        <w:t>losses,</w:t>
        <w:tab/>
        <w:t>if</w:t>
        <w:tab/>
        <w:t>any.</w:t>
        <w:tab/>
        <w:t>See</w:t>
        <w:tab/>
        <w:t>“Certain</w:t>
        <w:tab/>
        <w:t>U.S.</w:t>
        <w:tab/>
        <w:t>Federal</w:t>
        <w:tab/>
        <w:t>Income</w:t>
      </w:r>
      <w:r>
        <w:rPr>
          <w:sz w:val="20"/>
          <w:szCs w:val="20"/>
          <w:color w:val="auto"/>
        </w:rPr>
        <w:tab/>
      </w:r>
      <w:r>
        <w:rPr>
          <w:rFonts w:ascii="Times New Roman" w:cs="Times New Roman" w:eastAsia="Times New Roman" w:hAnsi="Times New Roman"/>
          <w:sz w:val="16"/>
          <w:szCs w:val="16"/>
          <w:color w:val="auto"/>
        </w:rPr>
        <w:t>Tax</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Considerations” in the accompanying prospectus.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NASDAQ Global Select Market symbol</w:t>
      </w:r>
    </w:p>
    <w:p>
      <w:pPr>
        <w:spacing w:after="0" w:line="27" w:lineRule="exact"/>
        <w:rPr>
          <w:sz w:val="20"/>
          <w:szCs w:val="20"/>
          <w:color w:val="auto"/>
        </w:rPr>
      </w:pPr>
    </w:p>
    <w:p>
      <w:pPr>
        <w:ind w:left="720"/>
        <w:spacing w:after="0"/>
        <w:tabs>
          <w:tab w:leader="none" w:pos="3580" w:val="left"/>
        </w:tabs>
        <w:rPr>
          <w:sz w:val="20"/>
          <w:szCs w:val="20"/>
          <w:color w:val="auto"/>
        </w:rPr>
      </w:pPr>
      <w:r>
        <w:rPr>
          <w:rFonts w:ascii="Times New Roman" w:cs="Times New Roman" w:eastAsia="Times New Roman" w:hAnsi="Times New Roman"/>
          <w:sz w:val="18"/>
          <w:szCs w:val="18"/>
          <w:color w:val="auto"/>
        </w:rPr>
        <w:t>of common stock</w:t>
      </w:r>
      <w:r>
        <w:rPr>
          <w:sz w:val="20"/>
          <w:szCs w:val="20"/>
          <w:color w:val="auto"/>
        </w:rPr>
        <w:tab/>
      </w:r>
      <w:r>
        <w:rPr>
          <w:rFonts w:ascii="Times New Roman" w:cs="Times New Roman" w:eastAsia="Times New Roman" w:hAnsi="Times New Roman"/>
          <w:sz w:val="17"/>
          <w:szCs w:val="17"/>
          <w:color w:val="auto"/>
        </w:rPr>
        <w:t>“OXSQ”</w:t>
      </w:r>
    </w:p>
    <w:p>
      <w:pPr>
        <w:spacing w:after="0" w:line="180"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Trading at a Discount</w:t>
      </w:r>
      <w:r>
        <w:rPr>
          <w:sz w:val="20"/>
          <w:szCs w:val="20"/>
          <w:color w:val="auto"/>
        </w:rPr>
        <w:tab/>
      </w:r>
      <w:r>
        <w:rPr>
          <w:rFonts w:ascii="Times New Roman" w:cs="Times New Roman" w:eastAsia="Times New Roman" w:hAnsi="Times New Roman"/>
          <w:sz w:val="18"/>
          <w:szCs w:val="18"/>
          <w:color w:val="auto"/>
        </w:rPr>
        <w:t>Shares of closed-end investment companies, including business</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development companies, may trade at a discount from net asset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value. This characteristic of closed-end investment companies and</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business development companies is separate and distinct from the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risk that our net asset value per share may decline. We cannot</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predict whether our common stock will trade at, above or below</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net asset value. See “Risk Factors” in our most recent Annual</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Report on Form 10-K, incorporated by reference herein, and under</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similar headings in the documents that we file with the SEC.</w:t>
      </w:r>
    </w:p>
    <w:p>
      <w:pPr>
        <w:spacing w:after="0" w:line="180" w:lineRule="exact"/>
        <w:rPr>
          <w:sz w:val="20"/>
          <w:szCs w:val="20"/>
          <w:color w:val="auto"/>
        </w:rPr>
      </w:pPr>
    </w:p>
    <w:p>
      <w:pPr>
        <w:ind w:left="540"/>
        <w:spacing w:after="0"/>
        <w:tabs>
          <w:tab w:leader="none" w:pos="35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 investment in our common stock is subject to risks and</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involves a heightened risk of total loss of investment. In addition,</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the companies in which we invest are subject to special risks. See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“Risk Factors” in our most recent Annual Report on Form 10-K,</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incorporated by reference herein, and under similar headings in the</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documents  that  we  file  with  the  Securities  and  Exchange</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Commission, or the SEC.</w:t>
      </w:r>
    </w:p>
    <w:p>
      <w:pPr>
        <w:sectPr>
          <w:pgSz w:w="11900" w:h="16838" w:orient="portrait"/>
          <w:cols w:equalWidth="0" w:num="1">
            <w:col w:w="9019"/>
          </w:cols>
          <w:pgMar w:left="1440" w:top="270" w:right="1440" w:bottom="796"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96"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10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9210675"/>
                    </a:xfrm>
                    <a:prstGeom prst="rect">
                      <a:avLst/>
                    </a:prstGeom>
                    <a:noFill/>
                  </pic:spPr>
                </pic:pic>
              </a:graphicData>
            </a:graphic>
          </wp:anchor>
        </w:drawing>
      </w:r>
    </w:p>
    <w:p>
      <w:pPr>
        <w:sectPr>
          <w:pgSz w:w="11900" w:h="16838" w:orient="portrait"/>
          <w:cols w:equalWidth="0" w:num="1">
            <w:col w:w="9019"/>
          </w:cols>
          <w:pgMar w:left="1440" w:top="270" w:right="1440" w:bottom="918"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“OXSQ,” or that “we” will pay fees or expenses, you will indirectly bear such fees or expenses as an investor in OXSQ.</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Fees and Expenses</w:t>
      </w:r>
      <w:r>
        <w:rPr>
          <w:rFonts w:ascii="Times New Roman" w:cs="Times New Roman" w:eastAsia="Times New Roman" w:hAnsi="Times New Roman"/>
          <w:sz w:val="18"/>
          <w:szCs w:val="18"/>
          <w:b w:val="1"/>
          <w:bCs w:val="1"/>
          <w:color w:val="auto"/>
          <w:vertAlign w:val="superscript"/>
        </w:rPr>
        <w:t>(1)</w:t>
      </w:r>
    </w:p>
    <w:p>
      <w:pPr>
        <w:spacing w:after="0" w:line="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275"/>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borne by us (as a percentage of offering price)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122"/>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Distribution reinvestment plan expenses</w:t>
            </w:r>
          </w:p>
        </w:tc>
        <w:tc>
          <w:tcPr>
            <w:tcW w:w="1360" w:type="dxa"/>
            <w:vAlign w:val="bottom"/>
            <w:gridSpan w:val="2"/>
          </w:tcPr>
          <w:p>
            <w:pPr>
              <w:jc w:val="right"/>
              <w:ind w:right="91"/>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62"/>
        </w:trPr>
        <w:tc>
          <w:tcPr>
            <w:tcW w:w="6560" w:type="dxa"/>
            <w:vAlign w:val="bottom"/>
            <w:gridSpan w:val="2"/>
            <w:vMerge w:val="continue"/>
          </w:tcPr>
          <w:p>
            <w:pPr>
              <w:spacing w:after="0"/>
              <w:rPr>
                <w:sz w:val="14"/>
                <w:szCs w:val="14"/>
                <w:color w:val="auto"/>
              </w:rPr>
            </w:pPr>
          </w:p>
        </w:tc>
        <w:tc>
          <w:tcPr>
            <w:tcW w:w="1360" w:type="dxa"/>
            <w:vAlign w:val="bottom"/>
            <w:gridSpan w:val="2"/>
          </w:tcPr>
          <w:p>
            <w:pPr>
              <w:jc w:val="right"/>
              <w:ind w:right="171"/>
              <w:spacing w:after="0" w:line="162"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 transaction expenses (as a percentage of offering price)</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Annual expenses (estimated as a percentage of net assets attributable to common</w:t>
            </w: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w:t>
            </w:r>
            <w:r>
              <w:rPr>
                <w:rFonts w:ascii="Times New Roman" w:cs="Times New Roman" w:eastAsia="Times New Roman" w:hAnsi="Times New Roman"/>
                <w:sz w:val="20"/>
                <w:szCs w:val="20"/>
                <w:color w:val="auto"/>
                <w:vertAlign w:val="superscript"/>
              </w:rPr>
              <w:t>(5)</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payable under our investment advisory agreement</w:t>
            </w:r>
          </w:p>
        </w:tc>
        <w:tc>
          <w:tcPr>
            <w:tcW w:w="13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28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r>
              <w:rPr>
                <w:rFonts w:ascii="Times New Roman" w:cs="Times New Roman" w:eastAsia="Times New Roman" w:hAnsi="Times New Roman"/>
                <w:sz w:val="20"/>
                <w:szCs w:val="20"/>
                <w:color w:val="auto"/>
                <w:vertAlign w:val="superscript"/>
              </w:rPr>
              <w:t>(7)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r>
              <w:rPr>
                <w:rFonts w:ascii="Times New Roman" w:cs="Times New Roman" w:eastAsia="Times New Roman" w:hAnsi="Times New Roman"/>
                <w:sz w:val="20"/>
                <w:szCs w:val="20"/>
                <w:color w:val="auto"/>
                <w:vertAlign w:val="superscript"/>
              </w:rPr>
              <w:t>(8)</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w w:val="88"/>
                <w:vertAlign w:val="subscript"/>
              </w:rPr>
              <w:t>%</w:t>
            </w:r>
            <w:r>
              <w:rPr>
                <w:rFonts w:ascii="Times New Roman" w:cs="Times New Roman" w:eastAsia="Times New Roman" w:hAnsi="Times New Roman"/>
                <w:sz w:val="10"/>
                <w:szCs w:val="10"/>
                <w:color w:val="auto"/>
                <w:w w:val="88"/>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980" w:right="559" w:hanging="436"/>
        <w:spacing w:after="0" w:line="274"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Amended Equity Distribution Agreement, the Company may sell up to $150.0 million of common stock. To date, the Company has sold approximately $96.0 million under their “at-the-market” offering program, which leaves $54.0 million available for sale under the Amended Equity Distribution Agreement. The figures in this table reflect the $54.0 million that remain available for sale under the Amended Equity Distribution Agreement.</w:t>
      </w:r>
    </w:p>
    <w:p>
      <w:pPr>
        <w:spacing w:after="0" w:line="180"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commissions with respect to the shares of our common stock being sold in this offering, which we will pay to our Distribution Agents in connection with sales of shares of our common stock effected by our Distribution Agents under the Amended Equity Distribution Agreement. There is no guaranty that there will be any sales of our common stock pursuant to this Prospectus.</w:t>
      </w:r>
    </w:p>
    <w:p>
      <w:pPr>
        <w:ind w:left="980" w:hanging="436"/>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of this offering are estimated to be approximately $185,000.</w:t>
      </w:r>
    </w:p>
    <w:p>
      <w:pPr>
        <w:spacing w:after="0" w:line="18" w:lineRule="exact"/>
        <w:rPr>
          <w:rFonts w:ascii="Times New Roman" w:cs="Times New Roman" w:eastAsia="Times New Roman" w:hAnsi="Times New Roman"/>
          <w:sz w:val="16"/>
          <w:szCs w:val="16"/>
          <w:color w:val="auto"/>
        </w:rPr>
      </w:pPr>
    </w:p>
    <w:p>
      <w:pPr>
        <w:jc w:val="both"/>
        <w:ind w:left="980" w:right="559" w:hanging="436"/>
        <w:spacing w:after="0" w:line="276"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spacing w:after="0" w:line="175" w:lineRule="exact"/>
        <w:rPr>
          <w:rFonts w:ascii="Times New Roman" w:cs="Times New Roman" w:eastAsia="Times New Roman" w:hAnsi="Times New Roman"/>
          <w:sz w:val="16"/>
          <w:szCs w:val="16"/>
          <w:color w:val="auto"/>
        </w:rPr>
      </w:pPr>
    </w:p>
    <w:p>
      <w:pPr>
        <w:jc w:val="both"/>
        <w:ind w:left="980" w:right="559" w:hanging="436"/>
        <w:spacing w:after="0" w:line="266"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gross assets (which equals the total assets on our Statements of Assets and Liabilities adjusted as described in this footnote) of approximately $328.9 million and $151.9 million of leverage (including approximately $80.5 million in aggregate principal of our 5.50% Unsecured Notes and $74.8 million in aggregate principal of our 7.75% Unsecured Notes, in each case, as of March 31, 2026, and less any respective amortization of deferred issuance costs), and assumes net assets of approximately $173.3 million (which has been adjusted to reflect the net issuance of an additional approximately $50.0 million of common stock). For purposes of this table, the SEC requires our base management fee to be calculated as a percentage of our net assets. Our base management fee under the Investment Advisory Agreement, however, is based on our gross assets, which is defined as all the assets of the Company, including those acquired using borrowings for investment purposes. As a result, to the extent we use additional leverage, it would have the effect of increasing our base management fee as a percentage of our net assets. See “Management and Other Agreements” in the accompanying prospectus for additional information.</w:t>
      </w:r>
    </w:p>
    <w:p>
      <w:pPr>
        <w:spacing w:after="0" w:line="186" w:lineRule="exact"/>
        <w:rPr>
          <w:rFonts w:ascii="Times New Roman" w:cs="Times New Roman" w:eastAsia="Times New Roman" w:hAnsi="Times New Roman"/>
          <w:sz w:val="16"/>
          <w:szCs w:val="16"/>
          <w:color w:val="auto"/>
        </w:rPr>
      </w:pPr>
    </w:p>
    <w:p>
      <w:pPr>
        <w:jc w:val="both"/>
        <w:ind w:left="980" w:right="559" w:hanging="436"/>
        <w:spacing w:after="0" w:line="266" w:lineRule="auto"/>
        <w:tabs>
          <w:tab w:leader="none" w:pos="94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annual incentive fees earned by Oxford Square Management. Oxford Square Management did not earn incentive fees during the quarter ended March 31, 2026 due to the Total Return Requirement (as defined below). In subsequent periods, incentive fees may be earned by Oxford Square Management if, and to the extent that, we earn greater investment income through our investments in portfolio companies and realize additional gains upon the sale of investments in such companies. The incentive fee consists of two parts. The first part, which is payable quarterly in arrears, equals the amount by which (x) the “Pre-Incentive Fee Net Investment Income” for the immediately preceding calendar quarter exceeds (y) the “Preferred Return Amount” for that calendar quarter. Effective April 1, 2016, a “Preferred Return Amount” is calculated on a quarterly basis by multiplying 1.75% by the Company’s net asset value at the end of the immediately preceding calendar quarter. The net investment income incentive fee is then calculated as follows: (a) no net investment income incentive fee is payable to Oxford Square Management in any calendar quarter in which the “Pre-Incentive Fee Net Investment Income” does not exceed the “Preferred Return Amount”; (b) 100% of the “Pre-Incentive Fee Net Investment Income” for such quarter, if any, that exceeds the “Preferred Return Amount” but is less than or equal to a “Catch-Up Amount” determined</w:t>
      </w:r>
    </w:p>
    <w:p>
      <w:pPr>
        <w:sectPr>
          <w:pgSz w:w="11900" w:h="16838" w:orient="portrait"/>
          <w:cols w:equalWidth="0" w:num="1">
            <w:col w:w="9019"/>
          </w:cols>
          <w:pgMar w:left="1440" w:top="270" w:right="1440" w:bottom="918"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18"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96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0962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on a quarterly basis by multiplying 2.1875% by OXSQ’s net asset value at the end of such calendar quarter; and</w:t>
      </w:r>
    </w:p>
    <w:p>
      <w:pPr>
        <w:spacing w:after="0" w:line="26" w:lineRule="exact"/>
        <w:rPr>
          <w:sz w:val="20"/>
          <w:szCs w:val="20"/>
          <w:color w:val="auto"/>
        </w:rPr>
      </w:pPr>
    </w:p>
    <w:p>
      <w:pPr>
        <w:jc w:val="both"/>
        <w:ind w:left="980" w:right="559"/>
        <w:spacing w:after="0" w:line="265" w:lineRule="auto"/>
        <w:rPr>
          <w:sz w:val="20"/>
          <w:szCs w:val="20"/>
          <w:color w:val="auto"/>
        </w:rPr>
      </w:pPr>
      <w:r>
        <w:rPr>
          <w:rFonts w:ascii="Times New Roman" w:cs="Times New Roman" w:eastAsia="Times New Roman" w:hAnsi="Times New Roman"/>
          <w:sz w:val="16"/>
          <w:szCs w:val="16"/>
          <w:color w:val="auto"/>
        </w:rPr>
        <w:t>(c) for any quarter in which the “Pre-Incentive Fee Net Investment Income” exceeds the “Catch-Up Amount,” the net investment income incentive fee will be 20% of the amount of the “Pre-Incentive Fee Net Investment Income” for such quarter. In addition, effective April 1, 2016, the calculation of the Company’s net investment income incentive fee is subject to a total return requirement, (the “Total Return Requirement”) which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 (11) preceding quarters exceeds the cumulative net investment income incentive fees accrued and/or paid for such eleven (11) preceding quarters. The second part of the incentive fee equals 20.0% of our net realized capital gains for the calendar year less any unrealized losses for such year and will be payable at the end of each calendar year. It should be noted that no capital gains incentive fee was calculated as of March 31, 2026, which is calculated based upon an assumed liquidation of the entire portfolio, and no other changes in realized or unrealized gains and losses, as of March 31, 2026 and the termination of the Investment Advisory Agreement on such date. For a detailed discussion of the calculation of the incentive fees, see “Management and Other Agreements” in the accompanying prospectus.</w:t>
      </w:r>
    </w:p>
    <w:p>
      <w:pPr>
        <w:spacing w:after="0" w:line="192" w:lineRule="exact"/>
        <w:rPr>
          <w:sz w:val="20"/>
          <w:szCs w:val="20"/>
          <w:color w:val="auto"/>
        </w:rPr>
      </w:pPr>
    </w:p>
    <w:p>
      <w:pPr>
        <w:jc w:val="both"/>
        <w:ind w:left="980" w:right="559" w:hanging="436"/>
        <w:spacing w:after="0" w:line="264" w:lineRule="auto"/>
        <w:tabs>
          <w:tab w:leader="none" w:pos="9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we have approximately $155.3 million of outstanding principal borrowings as of March 31, 2026. The calculation also assumes an effective interest rate of 6.06% (including amortization of deferred issuance costs) on the approximately $80.5 million of 5.50% Unsecured Notes outstanding as of March 31, 2026 and an effective interest rate of 8.62% (including amortization of deferred issuance costs) on the approximately $74.8 million of 7.75% Unsecured Notes outstanding as of March 31, 2026. This table includes all of the commitment fees, interest expense and amortized financing costs of the 5.50% Unsecured Notes and 7.75% Unsecured Notes, as well as the fees and expenses of issuing and servicing any other borrowings or leverage that the Company expects to incur during the 12 months following the filing of this prospectus supplement.</w:t>
      </w:r>
    </w:p>
    <w:p>
      <w:pPr>
        <w:jc w:val="both"/>
        <w:ind w:left="980" w:right="559" w:hanging="436"/>
        <w:spacing w:after="0" w:line="264" w:lineRule="auto"/>
        <w:tabs>
          <w:tab w:leader="none" w:pos="9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are annualized based on the actual expenses for the three months ended March 31, 2026, and adjusted for any new and non-recurring expenses, such as an assumed issuance of an additional $50.0 million of common stock. These expenses include certain expenses allocated to the Company under the Investment Advisory Agreement. In the event of a debt restructuring or extinguishment, we may incur a loss comprised of deferred financing costs which may cause actual expenses to exceed those amounts projected in the table.</w:t>
      </w:r>
    </w:p>
    <w:p>
      <w:pPr>
        <w:jc w:val="both"/>
        <w:ind w:left="980" w:right="559" w:hanging="436"/>
        <w:spacing w:after="0" w:line="270" w:lineRule="auto"/>
        <w:tabs>
          <w:tab w:leader="none" w:pos="9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“Total annual expenses” is presented as a percentage of net assets attributable to common stockholders, because the holders of shares of our common stock (and not the holders of our debt securities or preferred stock, if any) bear all of our fees and expenses. </w:t>
      </w:r>
      <w:r>
        <w:rPr>
          <w:rFonts w:ascii="Times New Roman" w:cs="Times New Roman" w:eastAsia="Times New Roman" w:hAnsi="Times New Roman"/>
          <w:sz w:val="16"/>
          <w:szCs w:val="16"/>
          <w:b w:val="1"/>
          <w:bCs w:val="1"/>
          <w:color w:val="auto"/>
        </w:rPr>
        <w:t>The indirect expenses associated with the Company’s CLO equity investments 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not included in the fee table presentation, but if such expenses were included in the fee table presentation then OXSQ’s total annual expenses would have been 18.26%.</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and that we pay the transaction expenses set forth in the table above, including a sales load of 2.0% paid by you (the commission to be paid by us with respect to common stock sold by us in this offering).</w:t>
      </w:r>
    </w:p>
    <w:p>
      <w:pPr>
        <w:spacing w:after="0" w:line="19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6"/>
              </w:rPr>
              <w:t>3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6"/>
              </w:rPr>
              <w:t>5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10 Years</w:t>
            </w:r>
          </w:p>
        </w:tc>
      </w:tr>
      <w:tr>
        <w:trPr>
          <w:trHeight w:val="47"/>
        </w:trPr>
        <w:tc>
          <w:tcPr>
            <w:tcW w:w="20" w:type="dxa"/>
            <w:vAlign w:val="bottom"/>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178"/>
        </w:trPr>
        <w:tc>
          <w:tcPr>
            <w:tcW w:w="20" w:type="dxa"/>
            <w:vAlign w:val="bottom"/>
          </w:tcPr>
          <w:p>
            <w:pPr>
              <w:spacing w:after="0"/>
              <w:rPr>
                <w:sz w:val="15"/>
                <w:szCs w:val="15"/>
                <w:color w:val="auto"/>
              </w:rPr>
            </w:pPr>
          </w:p>
        </w:tc>
        <w:tc>
          <w:tcPr>
            <w:tcW w:w="4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75"/>
        </w:trPr>
        <w:tc>
          <w:tcPr>
            <w:tcW w:w="20" w:type="dxa"/>
            <w:vAlign w:val="bottom"/>
          </w:tcPr>
          <w:p>
            <w:pPr>
              <w:spacing w:after="0"/>
              <w:rPr>
                <w:sz w:val="23"/>
                <w:szCs w:val="23"/>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assuming a 5% annual return</w:t>
            </w:r>
            <w:r>
              <w:rPr>
                <w:rFonts w:ascii="Times New Roman" w:cs="Times New Roman" w:eastAsia="Times New Roman" w:hAnsi="Times New Roman"/>
                <w:sz w:val="20"/>
                <w:szCs w:val="20"/>
                <w:color w:val="auto"/>
                <w:vertAlign w:val="superscript"/>
              </w:rPr>
              <w:t>(1)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198"/>
        </w:trPr>
        <w:tc>
          <w:tcPr>
            <w:tcW w:w="20" w:type="dxa"/>
            <w:vAlign w:val="bottom"/>
          </w:tcPr>
          <w:p>
            <w:pPr>
              <w:spacing w:after="0"/>
              <w:rPr>
                <w:sz w:val="17"/>
                <w:szCs w:val="17"/>
                <w:color w:val="auto"/>
              </w:rPr>
            </w:pPr>
          </w:p>
        </w:tc>
        <w:tc>
          <w:tcPr>
            <w:tcW w:w="4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You would pay the following expenses on a $1,000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assuming a 5% annual return entirely from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82"/>
        </w:trPr>
        <w:tc>
          <w:tcPr>
            <w:tcW w:w="20" w:type="dxa"/>
            <w:vAlign w:val="bottom"/>
          </w:tcPr>
          <w:p>
            <w:pPr>
              <w:spacing w:after="0"/>
              <w:rPr>
                <w:sz w:val="24"/>
                <w:szCs w:val="24"/>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realized gains</w:t>
            </w:r>
            <w:r>
              <w:rPr>
                <w:rFonts w:ascii="Times New Roman" w:cs="Times New Roman" w:eastAsia="Times New Roman" w:hAnsi="Times New Roman"/>
                <w:sz w:val="20"/>
                <w:szCs w:val="20"/>
                <w:color w:val="auto"/>
                <w:vertAlign w:val="superscript"/>
              </w:rPr>
              <w:t>(2)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bl>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69" w:lineRule="auto"/>
        <w:tabs>
          <w:tab w:leader="none" w:pos="9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we will not realize any capital gains computed net of all realized capital losses and unrealized capital depreciation.</w:t>
      </w:r>
    </w:p>
    <w:p>
      <w:pPr>
        <w:jc w:val="both"/>
        <w:ind w:left="980" w:right="559" w:hanging="436"/>
        <w:spacing w:after="0" w:line="272" w:lineRule="auto"/>
        <w:tabs>
          <w:tab w:leader="none" w:pos="9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unrealized capital depreciation and a 5% annual return resulting entirely from net realized capital gains and not otherwise deferrable under the terms of the Investment Advisory Agreement and therefore subject to the incentive fee based on capital gains. Because our investment strategy involves investments that generate primarily current income, we believe that a 5% annual return resulting entirely from net realized capital gains is unlikely.</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992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1992630"/>
                    </a:xfrm>
                    <a:prstGeom prst="rect">
                      <a:avLst/>
                    </a:prstGeom>
                    <a:noFill/>
                  </pic:spPr>
                </pic:pic>
              </a:graphicData>
            </a:graphic>
          </wp:anchor>
        </w:drawing>
      </w:r>
    </w:p>
    <w:p>
      <w:pPr>
        <w:spacing w:after="0" w:line="323"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example and the expenses in the tables above should not be considered a representation of our future expenses, and actual expenses may be greater or less than those shown. </w:t>
      </w:r>
      <w:r>
        <w:rPr>
          <w:rFonts w:ascii="Times New Roman" w:cs="Times New Roman" w:eastAsia="Times New Roman" w:hAnsi="Times New Roman"/>
          <w:sz w:val="18"/>
          <w:szCs w:val="18"/>
          <w:color w:val="auto"/>
        </w:rPr>
        <w:t>Moreover,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assumes, as required by the SEC, a 5.0% annual return, our performance will vary and may result in a return greater or less than 5.0%. The income incentive fee under our Investment Advisory Agreement, which, assuming a 5% annual return, would either not be payable or would have an insignificant impact on the expense amounts shown above, is not included in the example. If we achieve sufficient returns on our investments to trigger an income incentive fee of a material amount, our expenses, and returns to our investors, would be higher. In addition, while the example assumes reinvestment of all distributions at net asset value, participants in our distribution reinvestment plan may receive shares valued at the market price in effect at that time. This price may be at, above or below net asset value. See “Distribution Reinvestment Plan” in the accompanying prospectus for additional information regarding our distribution reinvestment plan.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and therein, contain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supplement and the accompanying prospectus involve risks and uncertainties, including statements as to:</w:t>
      </w:r>
    </w:p>
    <w:p>
      <w:pPr>
        <w:spacing w:after="0" w:line="121" w:lineRule="exact"/>
        <w:rPr>
          <w:sz w:val="20"/>
          <w:szCs w:val="20"/>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our ability to achieve our investment objectives;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and CLO investments to achieve their objectives;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and CLOs, particularly those having no liquid trading market;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our ability to access alternative debt markets and additional debt and equity capital;</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CLO investments;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Oxford Square Management to locate suitable investments for us and monitor and administer our investments.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12" w:lineRule="exact"/>
        <w:rPr>
          <w:sz w:val="20"/>
          <w:szCs w:val="20"/>
          <w:color w:val="auto"/>
        </w:rPr>
      </w:pPr>
    </w:p>
    <w:p>
      <w:pPr>
        <w:jc w:val="both"/>
        <w:ind w:left="1320" w:right="459" w:hanging="434"/>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industry trends and other external factors, including government shutdowns and uncertainty surrounding the financial and political stability of the United States and other countries;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its impact on our investment activities and the industries in which we invest;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“Part I, Item 1A. Risk Factors” and elsewhere in our most recent Annual Report on Form 10-K, and in our filings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those described or identified in “Risk Factors” in the accompanying prospectus and “Item 1A. Risk Factors” in our most recent Annual Report on Form 10-K, as well as in any of our subsequent SEC filings. You should not place undue reliance on these forward-looking statements, which are based on information available to us as of the applicable dates of this Prospectus, including any documents incorporated by reference to this Prospectus,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However, we undertake no obligation to update this prospectus supplement and the documents incorporated by reference herein to reflect any material changes to the information contained herein. The forward-looking statements contained in this Prospectus, including the documents that we incorporate by reference herein and therein, are excluded from the safe harbor protection provided by Section 27A of the Securities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negotiated transactions or transactions that are deemed to be “at the market,” as defined in Rule 415 under the Securities Act, including sales made directly on the NASDAQ Global Select Market or similar securities exchange or sales made to or through a market maker other than on an exchange, at prices related to the prevailing market prices or at negotiated prices. There is no guarantee that there will be any sales of our common stock pursuant to this Prospectus. Actual sales, if any, of our common stock under this Prospectus may be less than the amount set forth in this paragraph depending on, among other things, the market price of our common stock at the time of any such sale. As a result, the actual net proceeds we receive may be more or less than the amount of net proceeds estimated in this prospectus supplement. However, the sales price per share of our common stock offered by this Prospectus, less our Distribution Agents’ commissions, will not be less than the net asset value per share of our common stock at the time of such sale. If we sell shares of our common stock with an aggregate offering price of $54.0 million, which reflects the amount of shares that remain available for sale under the current Amended Equity Distribution Agreement, we anticipate that our net proceeds, after deducting sales agent commissions and estimated expenses payable by us, will be approximately $52.9 million.</w:t>
      </w:r>
    </w:p>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primarily fund investments in accordance with our investment objective and for other general corporate purposes.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Pending such uses, we will invest the net proceeds primarily in cash, cash equivalents, U.S. government securities and other high-quality investments that mature in one year or less from the date of investment, which are consistent with maintaining our election as a RIC. These temporary investments are expected to provide a lower net return than we hope to achieve from our target investments. The management fee payable by us to our investment adviser will not be reduced while our assets are invested in such temporary investments.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“OXSQ.” The following table sets forth, for each fiscal quarter during the last two fiscal years and the current fiscal year, the net asset value, or “NAV,” per share of our common stock, the high and low intraday sales prices for our common stock, such sales prices as a percentage of NAV per share and quarterly distributions per share.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0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High Sales</w:t>
            </w:r>
          </w:p>
        </w:tc>
        <w:tc>
          <w:tcPr>
            <w:tcW w:w="104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Distributions</w:t>
            </w: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Price to</w:t>
            </w:r>
          </w:p>
        </w:tc>
        <w:tc>
          <w:tcPr>
            <w:tcW w:w="104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21"/>
                <w:szCs w:val="2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NAV</w:t>
            </w:r>
            <w:r>
              <w:rPr>
                <w:rFonts w:ascii="Times New Roman" w:cs="Times New Roman" w:eastAsia="Times New Roman" w:hAnsi="Times New Roman"/>
                <w:sz w:val="21"/>
                <w:szCs w:val="21"/>
                <w:b w:val="1"/>
                <w:bCs w:val="1"/>
                <w:color w:val="auto"/>
                <w:w w:val="89"/>
                <w:vertAlign w:val="superscript"/>
              </w:rPr>
              <w:t>(2)</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NAV</w:t>
            </w:r>
            <w:r>
              <w:rPr>
                <w:rFonts w:ascii="Times New Roman" w:cs="Times New Roman" w:eastAsia="Times New Roman" w:hAnsi="Times New Roman"/>
                <w:sz w:val="21"/>
                <w:szCs w:val="21"/>
                <w:b w:val="1"/>
                <w:bCs w:val="1"/>
                <w:color w:val="auto"/>
                <w:w w:val="89"/>
                <w:vertAlign w:val="superscript"/>
              </w:rPr>
              <w:t>(2)</w:t>
            </w:r>
          </w:p>
        </w:tc>
        <w:tc>
          <w:tcPr>
            <w:tcW w:w="10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57"/>
        </w:trPr>
        <w:tc>
          <w:tcPr>
            <w:tcW w:w="1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6"/>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3.22</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0.225</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hanging="406"/>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has not yet been calculated for this period.</w:t>
      </w:r>
    </w:p>
    <w:p>
      <w:pPr>
        <w:spacing w:after="0" w:line="26" w:lineRule="exact"/>
        <w:rPr>
          <w:sz w:val="20"/>
          <w:szCs w:val="20"/>
          <w:color w:val="auto"/>
        </w:rPr>
      </w:pPr>
    </w:p>
    <w:p>
      <w:pPr>
        <w:jc w:val="both"/>
        <w:ind w:left="880" w:right="479" w:hanging="426"/>
        <w:spacing w:after="0" w:line="264"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880" w:hanging="426"/>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the respective high or low intraday sales price divided by NAV and subtracting 1.</w:t>
      </w:r>
    </w:p>
    <w:p>
      <w:pPr>
        <w:spacing w:after="0" w:line="18" w:lineRule="exact"/>
        <w:rPr>
          <w:rFonts w:ascii="Times New Roman" w:cs="Times New Roman" w:eastAsia="Times New Roman" w:hAnsi="Times New Roman"/>
          <w:sz w:val="16"/>
          <w:szCs w:val="16"/>
          <w:color w:val="auto"/>
        </w:rPr>
      </w:pPr>
    </w:p>
    <w:p>
      <w:pPr>
        <w:ind w:left="880" w:right="459" w:hanging="426"/>
        <w:spacing w:after="0" w:line="288" w:lineRule="auto"/>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distributions, including dividends, dividends reinvested and returns of capital, if any, per share that we have declared on our common stock in the specified quarter.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Distribution Agents are acting as our sales agents in connection with the offer and sale of shares of our common stock pursuant to the Prospectus. The Amended Equity Distribution Agreement provides that we may offer and sell shares of our common stock having an aggregate offering price of up to $150,000,000, inclusive of amounts sold pursuant to the prior equity distribution agreement, dated August 1, 2019, as amended by amendment no. 1 thereto, dated August 22, 2023, and the amended and restated equity distribution agreement, dated August 16, 2024, from time to time through our Distribution Agents. From August 1, 2019 to April 30, 2026, we sold a total of 37,794,797 shares of common stock pursuant to the “at-the-market” offering. The total amount of capital raised as a result of these sales of common stock was approximately $96.0 million and net proceeds were approximately $94.1 million, after deducting the sales agents’ commissions and offering expenses. Upon written or oral instructions from us, the Distribution Agents will use their commercially reasonable efforts consistent with their sales and trading practices to sell, as our sales agents, our common stock under the terms and subject to the conditions set forth in our Amended Equity Distribution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instruct one or both Distribution Agents as to the amount of common stock to be sold by them. We may instruct the Distribution Agents not to sell common stock if the sales cannot be effected at or above the price designated by us in any instruction. The sales price per share of our common stock offered by the Prospectus, less the Distribution Agents’ commissions, will not be less than the net asset value per share of our common stock at the time of such sale. We or the Distribution Agents may suspend the offering of shares of common stock upon proper notice and subject to other conditions.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the Prospectus may be made in negotiated transactions or transactions that are deemed to be “at the market,” as defined in Rule 415 under the Securities Act, including sales made directly on the NASDAQ Global Select Market or similar securities exchange or sales made to or through a market maker other than on an exchange at prices related to the prevailing market prices or at negotiated prices.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Distribution Agents will provide written confirmation of a sale to us no later than the opening of the trading day on the NASDAQ Global Select Market following each trading day in which shares of our common stock are sold under the Amended Equity Distribution Agreement. Each confirmation will include the number of shares of common stock sold on the preceding day, the net proceeds to us and the compensation payable by us to the Distribution Agents in connection with the sales.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Distribution Agents will receive a commission from us equal to the lesser of (i) 2.0% of the gross sales price per share from such sale and (ii) the difference between the gross sale price per share from such sale and our most recently determined net asset value per share, with respect to any shares of our common stock sold through the Distribution Agents under the Amended Equity Distribution Agreement. We estimate that the total expenses for the offering, excluding compensation payable to the Distribution Agents under the terms of the Amended Equity Distribution Agreement, will be approximately $185,000.</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trading day following the date on which such sales are made, or on some other date that is agreed upon by us and the Distribution Agents in connection with a particular transaction, in return for payment of the net proceeds to us. There is no arrangement for funds to be received in an escrow, trust or similar arrangement. We will report at least quarterly the number of shares of our common stock sold through the Distribution Agents under the Amended Equity Distribution Agreement and the net proceeds to us.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the Distribution Agents may each be deemed to be an “underwriter” within the meaning of the Securities Act, and the compensation of the Distribution Agents may be deemed to be underwriting commissions or discounts. We have agreed to provide indemnification and contribution to the Distribution Agents against certain civil liabilities, including liabilities under the Securities Act.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Amended Equity Distribution Agreement will terminate upon the earlier of (i) the sale of the dollar amount of common stock subject to the Amended Equity Distribution Agreement or (ii) the termination of the Amended Equity Distribution Agreement. The Amended Equity Distribution Agreement may be terminated by us in our sole discretion with respect to one or both Distribution Agents under the circumstances specified in the Amended Equity Distribution Agreement by giving notice to the applicable Distribution Agent. In addition, either Distribution Agent may terminate its participation in the Amended Equity Distribution Agreement under the circumstances specified in the Amended Equity Distribution Agreement by giving notice to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Distribution Agents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Distribution Agents and their affiliates have, from time to time, performed, and may in the future perform, various financial advisory and investment banking services for us, for which they received or will receive customary fees and expenses, including acting as underwriters for our securities offerings. In the ordinary course of their various business activities, the Distribution Agents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 company. The Distribution Agents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20" w:lineRule="exact"/>
        <w:rPr>
          <w:sz w:val="20"/>
          <w:szCs w:val="20"/>
          <w:color w:val="auto"/>
        </w:rPr>
      </w:pPr>
    </w:p>
    <w:p>
      <w:pPr>
        <w:jc w:val="both"/>
        <w:ind w:left="460" w:right="479" w:firstLine="432"/>
        <w:spacing w:after="0" w:line="264" w:lineRule="auto"/>
        <w:rPr>
          <w:sz w:val="20"/>
          <w:szCs w:val="20"/>
          <w:color w:val="auto"/>
        </w:rPr>
      </w:pPr>
      <w:r>
        <w:rPr>
          <w:rFonts w:ascii="Times New Roman" w:cs="Times New Roman" w:eastAsia="Times New Roman" w:hAnsi="Times New Roman"/>
          <w:sz w:val="18"/>
          <w:szCs w:val="18"/>
          <w:color w:val="auto"/>
        </w:rPr>
        <w:t>The principal business address of Lucid Capital Markets, LLC is 570 Lexington Avenue, 40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10022, and the principal business address of Ladenburg Thalmann &amp; Co. Inc. is 640 Fifth Avenue,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10019.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upon for us by Dechert LLP, Washington, DC. Certain legal matters in connection with the offering will be passed upon for the sales agent by Blank Rome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are permitted to “incorporate by reference” the information in documents that we file with the SEC, which means that we can disclose important information to you by referring you to those documents. The information incorporated by reference herein is considered to be part of this prospectus supplement, and later information that we file with the SEC will automatically update and supersede this information.</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reports and other documents we subsequently file with the SEC under Sections 13(a), 13(c), 14 or 15(d) of the Exchange Act, subsequent to the date of this prospectus supplement until all of the securities offered by this Prospectus have been sold or we otherwise terminate the offering of these securities; provided, however, that information “furnished” under Item 2.02 or Item 7.01 of Form 8-K or other information “furnished” to the SEC, which is not deemed filed, is not and will not be incorporated by reference:</w:t>
      </w:r>
    </w:p>
    <w:p>
      <w:pPr>
        <w:spacing w:after="0" w:line="120" w:lineRule="exact"/>
        <w:rPr>
          <w:sz w:val="20"/>
          <w:szCs w:val="20"/>
          <w:color w:val="auto"/>
        </w:rPr>
      </w:pPr>
    </w:p>
    <w:p>
      <w:pPr>
        <w:ind w:left="1320" w:right="459" w:hanging="434"/>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1, 2026;</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July 8, 2025;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w:t>
      </w:r>
      <w:hyperlink r:id="rId34">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2025 (filed with the SEC on March 6, 2026), which updated the description thereof in our Registration Statement on </w:t>
      </w:r>
      <w:hyperlink r:id="rId3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000-50398) filed with the SEC on September 23, 2003, including any amendment or report filed for the purpose of updating such description prior to the termination of the offering registered hereby.</w:t>
      </w:r>
    </w:p>
    <w:p>
      <w:pPr>
        <w:spacing w:after="0" w:line="102" w:lineRule="exact"/>
        <w:rPr>
          <w:rFonts w:ascii="Times New Roman" w:cs="Times New Roman" w:eastAsia="Times New Roman" w:hAnsi="Times New Roman"/>
          <w:sz w:val="18"/>
          <w:szCs w:val="18"/>
          <w:color w:val="auto"/>
        </w:rPr>
      </w:pPr>
    </w:p>
    <w:p>
      <w:pPr>
        <w:ind w:left="88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1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reports, proxy statements and other information meeting the informational requirements of the Exchange Act. The SEC maintains a website that provides access, free of charge, to reports, proxy and information statements and other information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these reports, proxy and information statements and other information, as well as the registration statement and related exhibits and schedules, can be obtained, after paying a duplicating fee, by electronic request at the following e-mail address: publicinfo@sec.gov, or by writing the SEC’s Public Reference Section, 100 F Street, N.E., Washington, D.C. 20549-0102. We maintain a website at </w:t>
      </w:r>
      <w:r>
        <w:rPr>
          <w:rFonts w:ascii="Times New Roman" w:cs="Times New Roman" w:eastAsia="Times New Roman" w:hAnsi="Times New Roman"/>
          <w:sz w:val="18"/>
          <w:szCs w:val="18"/>
          <w:i w:val="1"/>
          <w:iCs w:val="1"/>
          <w:color w:val="auto"/>
        </w:rPr>
        <w:t xml:space="preserve">http://www.oxfordsquarecapital.com </w:t>
      </w:r>
      <w:r>
        <w:rPr>
          <w:rFonts w:ascii="Times New Roman" w:cs="Times New Roman" w:eastAsia="Times New Roman" w:hAnsi="Times New Roman"/>
          <w:sz w:val="18"/>
          <w:szCs w:val="18"/>
          <w:color w:val="auto"/>
        </w:rPr>
        <w:t>and make all of our annual, quarterly and current reports, proxy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publicly filed information available, free of charge, on or through our website. Information contained on our website is not incorporated into this prospectus supplement, and you should not consider information on our website to be part of this prospectus supplement. You can also obtain such information by calling us collect at (203) 983-5275 or by contacting us at 8 Sound Shore Drive, Suite 255, Greenwich, CT 06830.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62865</wp:posOffset>
            </wp:positionV>
            <wp:extent cx="651510"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51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Oxford Square Capital Corp.</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286"/>
        </w:trPr>
        <w:tc>
          <w:tcPr>
            <w:tcW w:w="3040" w:type="dxa"/>
            <w:vAlign w:val="bottom"/>
          </w:tcPr>
          <w:p>
            <w:pPr>
              <w:spacing w:after="0"/>
              <w:rPr>
                <w:sz w:val="24"/>
                <w:szCs w:val="24"/>
                <w:color w:val="auto"/>
              </w:rPr>
            </w:pPr>
          </w:p>
        </w:tc>
        <w:tc>
          <w:tcPr>
            <w:tcW w:w="50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Common Stock</w:t>
            </w:r>
          </w:p>
        </w:tc>
      </w:tr>
      <w:tr>
        <w:trPr>
          <w:trHeight w:val="380"/>
        </w:trPr>
        <w:tc>
          <w:tcPr>
            <w:tcW w:w="30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506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Debt Securities</w:t>
            </w:r>
          </w:p>
        </w:tc>
      </w:tr>
      <w:tr>
        <w:trPr>
          <w:trHeight w:val="283"/>
        </w:trPr>
        <w:tc>
          <w:tcPr>
            <w:tcW w:w="30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Subscription Rights</w:t>
            </w:r>
          </w:p>
        </w:tc>
        <w:tc>
          <w:tcPr>
            <w:tcW w:w="506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40"/>
        </w:trPr>
        <w:tc>
          <w:tcPr>
            <w:tcW w:w="304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operate as a closed-end management investment company and have elected to be regulated as a business development company, or “BDC,” under the Investment Company Act of 1940, as amended, or the “1940 Act.” Our investment objective is to maximize our portfolio’s total return. Our primary current focus is to seek an attractive risk-adjusted total return by investing primarily in corporate debt securities and, to a lesser extent, in collateralized loan obligations (“CLO”), which are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w:t>
      </w:r>
      <w:r>
        <w:rPr>
          <w:rFonts w:ascii="Times New Roman" w:cs="Times New Roman" w:eastAsia="Times New Roman" w:hAnsi="Times New Roman"/>
          <w:sz w:val="18"/>
          <w:szCs w:val="18"/>
          <w:b w:val="1"/>
          <w:bCs w:val="1"/>
          <w:color w:val="auto"/>
        </w:rPr>
        <w:t>The portfolio companies in which we invest, however,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heightening the risk that we may lose all or part of our investment. The CLO vehicles in which we invest are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and, to a limited extent, subordinated and/or unsecured loans and bonds. Below investment grade securities, such as the CLO securities in which we primarily intend to invest, are often referred to as “junk.”</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$300,000,000 of our common stock, preferred stock, debt securities, subscription rights to purchase shares of our common stock, or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common stockholders or (iii) under such other circumstances as the Securities and Exchange Commission, or the “SEC,” may permit.</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securities may be offered directly to one or more purchasers, or through agents designated from time to time by us, or to or through underwriters or dealers. Each prospectus supplement relating to an offering will identify any agents or underwriters involved in the sale of our securities, and will disclose any applicable purchase price,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245745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discount or commissions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“OXSQ.” On April 14, 2026, the last reported sales price on the Nasdaq Global Select Market for our common stock was $1.91 per share. On December 31, 2025, our net asset value was $1.69 per share.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5.50% Unsecured Notes due 2028 (the “5.50% Unsecured Notes”) are currently listed on the NASDAQ Global Select Market under the symbol “OXSQG”. The reported closing price for our 5.50% Unsecured Notes on April 14, 2026 was $23.93 per note.</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7.75% Unsecured Notes due 2030 (the “7.75% Unsecured Notes”) are currently listed on the NASDAQ Global Select Market under the symbol “OXSQH”. The reported closing price for our 7.75% Unsecured Notes on April 14, 2026 was $25.20 per note.</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credit risk, the risk of the use of leverage and the risk of dilution, and is highly speculative. In addition, shares of closed-end investment companies, including BDCs, frequently trade at a discount to their net asset values. If our shares of our common stock trade at a discount to our net asset value, it will likely increase the risk of loss for purchasers in an offering made pursuant to this prospectus or any related prospectus supplement. Before investing in our securities, you should read the discussion of the material risks of investing in our securities, including the risk of leverage and dilution, in “Risk Factors” beginning on page 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also file periodic and current reports, proxy statements and other information about us with the SEC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which is available free of charge by contacting Oxford Square Capital Corp. at 8 Sound Shore Drive, Suite 255, Greenwich, CT 06830 or by telephone at (203) 983-5275, or by visiting our website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The information found on, or otherwise accessible through, our website is not incorporated into, and does not form a part of this prospectus or any other report or document we file with or furnish to the SEC.</w:t>
      </w:r>
    </w:p>
    <w:p>
      <w:pPr>
        <w:spacing w:after="0" w:line="10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accompanied by a prospectus supplement.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8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FEES AND EXPENSES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FINANCIAL HIGHLIGHTS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PRICE RANGE OF COMMON STOCK AND DISTRIBUTIONS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80" w:type="dxa"/>
            <w:vAlign w:val="bottom"/>
            <w:tcBorders>
              <w:bottom w:val="single" w:sz="8" w:color="0000EE"/>
            </w:tcBorders>
            <w:gridSpan w:val="33"/>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SENIOR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PORTFOLIO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PORTFOLIO 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 AND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RELATED-PARTY TRANSACTIONS AND CERTAIN RELATIONSHIPS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CONTROL PERSONS AND PRINCIPAL SHAREHOLDERS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DISTRIBUTION REINVESTMENT PLAN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CUSTODIAN, TRANSFER AND DISTRIBUTION PAYING AGENT AND REGISTRAR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4"/>
          </w:tcPr>
          <w:p>
            <w:pPr>
              <w:spacing w:after="0" w:line="202"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AVAILABLE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5180" w:type="dxa"/>
            <w:vAlign w:val="bottom"/>
            <w:tcBorders>
              <w:bottom w:val="single" w:sz="8" w:color="0000EE"/>
            </w:tcBorders>
            <w:gridSpan w:val="29"/>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100" w:type="dxa"/>
            <w:vAlign w:val="bottom"/>
            <w:gridSpan w:val="5"/>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this shelf registration statement, we may offer, from time to time, in one or more offerings, up to $300,000,000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for more information.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could cause results to differ materially from those expressed in these publications and reports.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13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included elsewhere in this prospectus or incorporated by reference.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“Risk Factors”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w:t>
      </w:r>
    </w:p>
    <w:p>
      <w:pPr>
        <w:spacing w:after="0" w:line="118"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Except where the context requires otherwise, the terms “OXSQ,” “Company,” “we,” “us” and “our” refer to Oxford Square Capital Corp.; “Oxford Square Management” refers to Oxford Square Management, LLC; and “Oxford Funds” refers to Oxford Funds, LLC.</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operate as a closed-end management investment company that has elected to be regulated as a business development company (“BDC”) under the Investment Company Act of 1940, as amended (the “1940 Act”). We have elected to be treated for tax purposes as a regulated investment company (“RIC”) under Subchapter M of the Internal Revenue Code of 1986, as amended (the “Code”) beginning with our 2003 taxable year. Our investment objective is to maximize our portfolio’s total return. Our primary current focus is to seek an attractive risk-adjusted total return by investing primarily in corporate debt securities and, to a lesser extent, in collateralized loan obligation (“CLO”) structured finance investments that own corporate debt securities. CLO investments may also include warehouse facilities, which are early-stage CLO vehicles intended to aggregate loans that may be used to form the basis of a traditional CLO vehicle. We may also invest in publicly traded debt and/or equity securities. As a BDC, we may not acquire any asset other than “qualifying assets” unless, at the time we make the acquisition, the value of our qualifying assets represents at least 70% of the value of our total assets.</w:t>
      </w:r>
    </w:p>
    <w:p>
      <w:pPr>
        <w:spacing w:after="0" w:line="12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capital is generally used by our corporate borrowers to finance organic growth, acquisitions, recapitalizations and working capital. Our investment decisions are based on extensive analysis of potential portfolio companies’ business operations supported by an in-depth understanding of the quality of their recurring revenues and cash flow, variability of costs and the inherent value of their assets, including proprietary intangible assets and intellectual property. In making our CLO investments, we consider the indenture structure for that vehicle, its operating characteristics and compliance with its various indenture provisions, as well as its corporate loan-based collateral pool.</w:t>
      </w:r>
    </w:p>
    <w:p>
      <w:pPr>
        <w:spacing w:after="0" w:line="12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generally expect to invest between $5.0 million and $25.0 million in each of our portfolio investments, although this investment size may vary as the size of our capital base changes and market conditions warrant. We invest in both fixed and variable interest rate structures. We expect that our investment portfolio will be diversified among a large number of investments with few investments, if any, exceeding 5% of the total portfolio.</w:t>
      </w:r>
    </w:p>
    <w:p>
      <w:pPr>
        <w:spacing w:after="0" w:line="10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structures of our investments will vary and we seek to invest across a wide range of different industries. We seek to invest in entities that, as a general matter, have been operating for at least one year prior to the date of our investment and that will, at the time of our investment, have employees and revenues, and which are cash flow positive. Many of these companies are expected to have financial backing provided by other financial or strategic sponsors at the time we make an investment. The portfolio companies in which we invest, however, will generally be considered below investment grade, and their debt securities may in turn be referred to as “junk.” A portion of our investment portfolio may consist of debt investments for which issuers are not required to make significant principal payments until the maturity of the senior loans, which could result in a substantial loss to us if such issuers are unable to refinance or repay their debt at maturity. In addition, many of the debt securities we hold typically contain interest reset provisions that may make it more difficult for a borrower to repay the loan, heightening the risk that we may lose all or part of our investment.</w:t>
      </w:r>
    </w:p>
    <w:p>
      <w:pPr>
        <w:spacing w:after="0" w:line="12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purchase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secured loans made to companies whose debt is unrated or is rated below investment grade and, to a limited extent, subordinated and/or unsecured loans and bonds. CLOs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w:t>
      </w:r>
    </w:p>
    <w:p>
      <w:pPr>
        <w:spacing w:after="0" w:line="12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have historically borrowed funds to make investments and may continue to do so.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advisory fee payable to Oxford Square Management, will be borne by our common stockholders.</w:t>
      </w:r>
    </w:p>
    <w:p>
      <w:pPr>
        <w:spacing w:after="0" w:line="106"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See “Business” in Part I, Item 1 in our most recent Annual Report on Form 10-K for additional information about us and our investment adviser, Oxford Square Management.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5.50% Unsecured Notes due 2028 (the “5.50% Unsecured Notes”)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On May 20, 2021, we completed an underwritten public offering of approximately $80.5 million in aggregate principal amount of the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7.75% Unsecured Notes (the “7.75% Unsecured Notes”)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On August 7, 2025, we completed an underwritten public offering of approximately $74.8 million in aggregate principal amount of the 7.75% Unsecured Notes. The 7.75% Unsecured Notes will mature on July 31, 2030, and may be redeemed in whole or in part at any time or from time to time at our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On August 22, 2023, we entered into Amendment No. 1 to the Equity Distribution Agreement dated August 1, 2019 with Ladenburg Thalmann &amp; Co. through which we may offer for sale, from time to time, up to $150.0 million of our common stock through an At-the-Market (“ATM”) offering. On August 16, 2024, we entered into an amended and restated equity distribution agreement (the “Amended and Restated Equity Distribution Agreement”) with Lucid Capital Markets, LLC and Ladenburg Thalmann &amp; Co. Inc., as the sales agents, to add Lucid Capital Markets, LLC as an additional sales agent to the Amended and Restated Equity Distribution Agreement. From August 1, 2019 to April 8, 2026, we sold a total of 37,794,797 shares of common stock pursuant to the ATM offering. The total amount of capital raised as a result of these sales of common stock was approximately $96.0 million and net proceeds were approximately $94.1 million after deducting the sales agent’s commissions and offering expenses.</w:t>
      </w:r>
    </w:p>
    <w:p>
      <w:pPr>
        <w:sectPr>
          <w:pgSz w:w="11900" w:h="16838" w:orient="portrait"/>
          <w:cols w:equalWidth="0" w:num="1">
            <w:col w:w="9019"/>
          </w:cols>
          <w:pgMar w:left="1440" w:top="270" w:right="1440"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02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147310" cy="740219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and Regulatory Structure</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investment activities are managed by Oxford Square Management. Oxford Square Management is an investment adviser registered under the Investment Advisers Act of 1940, as amended (the “Advisers Act”). Oxford Square Management is owned by Oxford Funds, its managing member, and Charles M. Royce, a member of our Board of Directors who holds a minority, non-controlling interest in Oxford Square Management. Jonathan H. Cohen, our Chief Executive Officer, and Saul B. Rosenthal, our President and Chief Operating Officer, directly or indirectly own or control all of the outstanding equity interests of Oxford Funds. Under the investment advisory agreement (the “Investment Advisory Agreement”), we have agreed to pay Oxford Square Management an annual base advisory fee based on our gross assets as well as an incentive fee based on our performance. See “Management and Other Agreements” in this prospectus.</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were founded in July 2003 and completed an initial public offering of shares of our common stock in November 2003. We are a Maryland corporation and a closed-end management investment company that has elected to be regulated as a BDC under the 1940 Act. As a BDC, we are required to meet certain regulatory tests, including the requirement to invest at least 70% of our total assets in eligible portfolio companies. See “Item 1. Business — Regulation as a Business Development Company” in our most recent Annual Report on Form 10-K. In addition, we have elected to be treated for U.S. federal income tax purposes, and intend to qualify annually, as a RIC under Subchapter M of the Code.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Set forth below is a chart detailing our organizational structure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headquarters are located at 8 Sound Shore Drive, Suite 255, Greenwich, Connecticut and our telephone number is (203) 983-5275.</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of 1933, as amended, or the “Securities Act.” The registration statement contains additional information about us and the securities being offered by this prospectus.</w:t>
      </w:r>
    </w:p>
    <w:p>
      <w:pPr>
        <w:spacing w:after="0" w:line="95"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Securities Exchange Act of 1934, as amended (the “Exchange Act”). The information we file with the SEC is available free of charge by contacting us at 8 Sound Shore Drive, Suite 255, Greenwich, CT 06830, by telephone at (203) 983-5275 or on our website at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Information contained on our website or on the SEC’s web site about us is not incorporated into this prospectus and you should not consider information contained on our website or on the SEC’s website to be part of this prospectus.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25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147310" cy="9425305"/>
                    </a:xfrm>
                    <a:prstGeom prst="rect">
                      <a:avLst/>
                    </a:prstGeom>
                    <a:noFill/>
                  </pic:spPr>
                </pic:pic>
              </a:graphicData>
            </a:graphic>
          </wp:anchor>
        </w:drawing>
      </w:r>
    </w:p>
    <w:p>
      <w:pPr>
        <w:sectPr>
          <w:pgSz w:w="11900" w:h="16838" w:orient="portrait"/>
          <w:cols w:equalWidth="0" w:num="1">
            <w:col w:w="9019"/>
          </w:cols>
          <w:pgMar w:left="1440" w:top="270" w:right="1440" w:bottom="592"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prospectus contains a reference to fees or expenses paid by “us” or “OXSQ,” or that “we” will pay fees or expenses, you will indirectly bear such fees or expenses as an investor in OXSQ.</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bl>
      <w:tblPr>
        <w:tblLayout w:type="fixed"/>
        <w:tblInd w:w="540" w:type="dxa"/>
        <w:tblCellMar>
          <w:top w:w="0" w:type="dxa"/>
          <w:left w:w="0" w:type="dxa"/>
          <w:bottom w:w="0" w:type="dxa"/>
          <w:right w:w="0" w:type="dxa"/>
        </w:tblCellMar>
      </w:tblPr>
      <w:tr>
        <w:trPr>
          <w:trHeight w:val="355"/>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360" w:type="dxa"/>
            <w:vAlign w:val="bottom"/>
            <w:gridSpan w:val="2"/>
          </w:tcPr>
          <w:p>
            <w:pPr>
              <w:jc w:val="right"/>
              <w:spacing w:after="0" w:line="35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8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borne by our common stockholders (as a percentage of offering price)</w:t>
            </w:r>
          </w:p>
        </w:tc>
        <w:tc>
          <w:tcPr>
            <w:tcW w:w="13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21"/>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Distribution reinvestment plan expenses</w:t>
            </w:r>
          </w:p>
        </w:tc>
        <w:tc>
          <w:tcPr>
            <w:tcW w:w="1360" w:type="dxa"/>
            <w:vAlign w:val="bottom"/>
            <w:gridSpan w:val="2"/>
          </w:tcPr>
          <w:p>
            <w:pPr>
              <w:jc w:val="right"/>
              <w:ind w:right="91"/>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62"/>
        </w:trPr>
        <w:tc>
          <w:tcPr>
            <w:tcW w:w="6560" w:type="dxa"/>
            <w:vAlign w:val="bottom"/>
            <w:vMerge w:val="continue"/>
          </w:tcPr>
          <w:p>
            <w:pPr>
              <w:spacing w:after="0"/>
              <w:rPr>
                <w:sz w:val="14"/>
                <w:szCs w:val="14"/>
                <w:color w:val="auto"/>
              </w:rPr>
            </w:pPr>
          </w:p>
        </w:tc>
        <w:tc>
          <w:tcPr>
            <w:tcW w:w="1360" w:type="dxa"/>
            <w:vAlign w:val="bottom"/>
            <w:gridSpan w:val="2"/>
          </w:tcPr>
          <w:p>
            <w:pPr>
              <w:jc w:val="right"/>
              <w:ind w:right="171"/>
              <w:spacing w:after="0" w:line="162" w:lineRule="exact"/>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 transaction expenses (as a percentage of offering price)</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our common stock):</w:t>
            </w: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r>
              <w:rPr>
                <w:rFonts w:ascii="Times New Roman" w:cs="Times New Roman" w:eastAsia="Times New Roman" w:hAnsi="Times New Roman"/>
                <w:sz w:val="20"/>
                <w:szCs w:val="20"/>
                <w:color w:val="auto"/>
                <w:vertAlign w:val="superscript"/>
              </w:rPr>
              <w:t>(4)</w:t>
            </w:r>
          </w:p>
        </w:tc>
        <w:tc>
          <w:tcPr>
            <w:tcW w:w="0" w:type="dxa"/>
            <w:vAlign w:val="bottom"/>
          </w:tcPr>
          <w:p>
            <w:pPr>
              <w:spacing w:after="0"/>
              <w:rPr>
                <w:sz w:val="1"/>
                <w:szCs w:val="1"/>
                <w:color w:val="auto"/>
              </w:rPr>
            </w:pPr>
          </w:p>
        </w:tc>
      </w:tr>
      <w:tr>
        <w:trPr>
          <w:trHeight w:val="2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payable under our investment advisory agreement</w:t>
            </w:r>
          </w:p>
        </w:tc>
        <w:tc>
          <w:tcPr>
            <w:tcW w:w="136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r>
              <w:rPr>
                <w:rFonts w:ascii="Times New Roman" w:cs="Times New Roman" w:eastAsia="Times New Roman" w:hAnsi="Times New Roman"/>
                <w:sz w:val="20"/>
                <w:szCs w:val="20"/>
                <w:color w:val="auto"/>
                <w:vertAlign w:val="superscript"/>
              </w:rPr>
              <w:t>(6)</w:t>
            </w:r>
          </w:p>
        </w:tc>
        <w:tc>
          <w:tcPr>
            <w:tcW w:w="0" w:type="dxa"/>
            <w:vAlign w:val="bottom"/>
          </w:tcPr>
          <w:p>
            <w:pPr>
              <w:spacing w:after="0"/>
              <w:rPr>
                <w:sz w:val="1"/>
                <w:szCs w:val="1"/>
                <w:color w:val="auto"/>
              </w:rPr>
            </w:pPr>
          </w:p>
        </w:tc>
      </w:tr>
      <w:tr>
        <w:trPr>
          <w:trHeight w:val="28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r>
              <w:rPr>
                <w:rFonts w:ascii="Times New Roman" w:cs="Times New Roman" w:eastAsia="Times New Roman" w:hAnsi="Times New Roman"/>
                <w:sz w:val="20"/>
                <w:szCs w:val="20"/>
                <w:color w:val="auto"/>
                <w:vertAlign w:val="superscript"/>
              </w:rPr>
              <w:t>(7)</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8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w w:val="88"/>
                <w:vertAlign w:val="subscript"/>
              </w:rPr>
              <w:t>%</w:t>
            </w:r>
            <w:r>
              <w:rPr>
                <w:rFonts w:ascii="Times New Roman" w:cs="Times New Roman" w:eastAsia="Times New Roman" w:hAnsi="Times New Roman"/>
                <w:sz w:val="10"/>
                <w:szCs w:val="10"/>
                <w:color w:val="auto"/>
                <w:w w:val="88"/>
              </w:rPr>
              <w:t>(8)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securities to which this prospectus relates are sold to or through underwriters, a corresponding prospectus supplement will disclose the applicable sales load and the “Example” will be updated accordingly.</w:t>
      </w:r>
    </w:p>
    <w:p>
      <w:pPr>
        <w:ind w:left="980" w:right="559" w:hanging="436"/>
        <w:spacing w:after="0" w:line="264"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prospectus supplement corresponding to each offering will disclose the applicable offering expenses and total stockholder transaction expenses as a percentage of the offering price.</w:t>
      </w:r>
    </w:p>
    <w:p>
      <w:pPr>
        <w:jc w:val="both"/>
        <w:ind w:left="980" w:right="559" w:hanging="436"/>
        <w:spacing w:after="0" w:line="276"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spacing w:after="0" w:line="175"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gross assets (which equals the total assets on our Statements of Assets and Liabilities as of December 31, 2025 adjusted as described in this footnote) of $356.7 million and $155.3 million of leverage (including $80.5 million in aggregate principal of our 5.50% Unsecured Notes and $74.8 million in aggregate principal of our 7.75% Unsecured Notes, in each case, as of December 31, 2025, and less any respective amortization of deferred issuance costs), and assumes net assets of $195.4 million (which has been adjusted to reflect the net issuance of an additional $50.0 million of common stock). For purposes of this table, the SEC requires our base management fee to be calculated as a percentage of our net assets. Our base management fee under the Investment Advisory Agreement, however, is based on our gross assets, which is defined as all the assets of Oxford Square Capital Corp., including those acquired using borrowings for investment purposes. As a result, to the extent we use additional leverage, it would have the effect of increasing our base management fee as a percentage of our net assets. See “Management and Other Agreements” in this prospectus for additional information.</w:t>
      </w:r>
    </w:p>
    <w:p>
      <w:pPr>
        <w:spacing w:after="0" w:line="1" w:lineRule="exact"/>
        <w:rPr>
          <w:rFonts w:ascii="Times New Roman" w:cs="Times New Roman" w:eastAsia="Times New Roman" w:hAnsi="Times New Roman"/>
          <w:sz w:val="16"/>
          <w:szCs w:val="16"/>
          <w:color w:val="auto"/>
        </w:rPr>
      </w:pPr>
    </w:p>
    <w:p>
      <w:pPr>
        <w:jc w:val="both"/>
        <w:ind w:left="980" w:right="559" w:hanging="436"/>
        <w:spacing w:after="0" w:line="262" w:lineRule="auto"/>
        <w:tabs>
          <w:tab w:leader="none" w:pos="94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annual incentive fees earned by Oxford Square Management. Oxford Square Management did not earn incentive fees during the year ended December 31, 2025 due to the Total Return Requirement (as defined below). In subsequent periods, incentive fees may be earned by Oxford Square Management if, and to the extent that, we earn greater investment income through our investments in portfolio companies and realize additional gains upon the sale of investments in such companies. The incentive fee consists of two parts. The first part, which is payable quarterly in arrears, equals the amount by which (x) the “Pre-Incentive Fee Net Investment Income” for the immediately preceding calendar quarter exceeds (y) the “Preferred Return Amount” for that calendar quarter. Effective April 1, 2016, a “Preferred Return Amount” is calculated on a quarterly basis by multiplying 1.75% by the Company’s net asset value at the end of the immediately preceding calendar quarter. The net investment income incentive fee is then calculated as follows: (a) no net investment income incentive fee is payable to Oxford Square Management in any calendar quarter in which the “Pre-Incentive Fee Net Investment Income” does not exceed the “Preferred Return Amount”; (b) 100% of the “Pre-Incentive Fee Net Investment Income” for such quarter, if any, that exceeds the “Preferred Return Amount” but is less than or equal to a “Catch-Up Amount” determined on a quarterly basis by multiplying 2.1875% by OXSQ’s net asset value at the end of such calendar quarter; and (c) for any quarter in which the “Pre-Incentive Fee Net Investment Income” exceeds the “Catch-Up Amount,” the net investment income incentive fee will be 20% of the amount of the “Pre-Incentive Fee Net Investment Income” for such quarter. In addition, effective April 1, 2016, the calculation of the Company’s net investment income incentive fee is subject to a total return requirement, (the “Total Return Requirement”) which provides that a net investment income incentive fee will not be payable to Oxford Square Management except to the extent 20% of the “cumulative net increase in net assets resulting from operations” (which is the amount, if positive, of the sum of the “Pre-Incentive Fee Net Investment Income,” realized gains and losses and unrealized appreciation and depreciation) during the calendar quarter for which such fees are being calculated and the eleven</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6"/>
          <w:szCs w:val="16"/>
          <w:color w:val="auto"/>
        </w:rPr>
        <w:t xml:space="preserve"> preceding quarters exceeds the cumulative net investment income incentive fees accrued and/or paid for such eleven</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6"/>
          <w:szCs w:val="16"/>
          <w:color w:val="auto"/>
        </w:rPr>
        <w:t xml:space="preserve"> preceding quarters. The second part of the incentive fee equals 20.0% of our net realized capital gains for</w:t>
      </w:r>
    </w:p>
    <w:p>
      <w:pPr>
        <w:sectPr>
          <w:pgSz w:w="11900" w:h="16838" w:orient="portrait"/>
          <w:cols w:equalWidth="0" w:num="1">
            <w:col w:w="9019"/>
          </w:cols>
          <w:pgMar w:left="1440" w:top="270" w:right="1440" w:bottom="592"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92"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14" w:lineRule="exact"/>
        <w:rPr>
          <w:sz w:val="20"/>
          <w:szCs w:val="20"/>
          <w:color w:val="auto"/>
        </w:rPr>
      </w:pPr>
    </w:p>
    <w:p>
      <w:pPr>
        <w:jc w:val="both"/>
        <w:ind w:left="980" w:right="559"/>
        <w:spacing w:after="0" w:line="265" w:lineRule="auto"/>
        <w:rPr>
          <w:sz w:val="20"/>
          <w:szCs w:val="20"/>
          <w:color w:val="auto"/>
        </w:rPr>
      </w:pPr>
      <w:r>
        <w:rPr>
          <w:rFonts w:ascii="Times New Roman" w:cs="Times New Roman" w:eastAsia="Times New Roman" w:hAnsi="Times New Roman"/>
          <w:sz w:val="16"/>
          <w:szCs w:val="16"/>
          <w:color w:val="auto"/>
        </w:rPr>
        <w:t>the calendar year less any unrealized losses for such year and will be payable at the end of each calendar year. It should be noted that no capital gains incentive fee was calculated as of December 31, 2025, which is calculated based upon an assumed liquidation of the entire portfolio, and no other changes in realized or unrealized gains and losses, as of December 31, 2025 and the termination of the Investment Advisory Agreement on such date. For a more detailed discussion of the calculation of the incentive fees, see “Investment Advisory Agreement” in this prospectus.</w:t>
      </w:r>
    </w:p>
    <w:p>
      <w:pPr>
        <w:spacing w:after="0" w:line="4" w:lineRule="exact"/>
        <w:rPr>
          <w:sz w:val="20"/>
          <w:szCs w:val="20"/>
          <w:color w:val="auto"/>
        </w:rPr>
      </w:pPr>
    </w:p>
    <w:p>
      <w:pPr>
        <w:jc w:val="both"/>
        <w:ind w:left="980" w:right="559" w:hanging="436"/>
        <w:spacing w:after="0" w:line="264"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we have $155.3 million of outstanding principal borrowings as of December 31, 2025. The calculation also assumes an effective interest rate of 5.98% (including amortization of deferred issuance costs) on the approximately $80.5 million of 5.50% Unsecured Notes outstanding as of December 31, 2025 and an effective interest rate of 8.52% (including amortization of deferred issuance costs) on the approximately $74.8 million of 7.75% Unsecured Notes outstanding as of December 31, 2025. This table includes all of the commitment fees, interest expense and amortized financing costs of 5.50% Unsecured Notes and 7.75% Unsecured Notes, as well as the fees and expenses of issuing and servicing any other borrowings or leverage that the Company expects to incur during the 12 months following the effectiveness of such registration statement of which this prospectus forms a part. We may issue preferred stock, which may be considered a form of leverage, pursuant to the registration statement of which the prospectus forms a part, although we have no current plans to do so during the 12 months following effectiveness of such registration statement of which this prospectus forms a part.</w:t>
      </w:r>
    </w:p>
    <w:p>
      <w:pPr>
        <w:spacing w:after="0" w:line="1"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is based on the actual expenses for the year ended December 31, 2025, and adjusted for any new and non-recurring expenses, such as an assumed issuance of an additional $50.0 million of common stock. These expenses include certain expenses allocated to the Company under the Investment Advisory Agreement. In the event of a debt restructuring or extinguishment, we may incur a loss comprised of deferred financing costs which may cause actual expenses to exceed those amounts projected in the table.</w:t>
      </w:r>
    </w:p>
    <w:p>
      <w:pPr>
        <w:jc w:val="both"/>
        <w:ind w:left="980" w:right="559" w:hanging="436"/>
        <w:spacing w:after="0" w:line="270" w:lineRule="auto"/>
        <w:tabs>
          <w:tab w:leader="none" w:pos="9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annual expenses” is presented as a percentage of net assets attributable to common stockholders, because the holders of shares of our common stock (and not the holders of our debt securities or preferred stock, if any) bear all of our fees and expenses. The indirect expenses associated with the Company’s CLO equity investments are not included in the fee table presentation, but if such expenses were included in the fee table presentation then OXSQ’s total annual expenses would have been 16.67%.</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operating expenses would remain at the levels set forth in the table above.</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2"/>
              </w:rPr>
              <w:t>3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2"/>
              </w:rPr>
              <w:t>5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6"/>
              </w:rPr>
              <w:t>10 Years</w:t>
            </w:r>
          </w:p>
        </w:tc>
      </w:tr>
      <w:tr>
        <w:trPr>
          <w:trHeight w:val="46"/>
        </w:trPr>
        <w:tc>
          <w:tcPr>
            <w:tcW w:w="20" w:type="dxa"/>
            <w:vAlign w:val="bottom"/>
          </w:tcPr>
          <w:p>
            <w:pPr>
              <w:spacing w:after="0"/>
              <w:rPr>
                <w:sz w:val="4"/>
                <w:szCs w:val="4"/>
                <w:color w:val="auto"/>
              </w:rPr>
            </w:pPr>
          </w:p>
        </w:tc>
        <w:tc>
          <w:tcPr>
            <w:tcW w:w="46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78"/>
        </w:trPr>
        <w:tc>
          <w:tcPr>
            <w:tcW w:w="20" w:type="dxa"/>
            <w:vAlign w:val="bottom"/>
          </w:tcPr>
          <w:p>
            <w:pPr>
              <w:spacing w:after="0"/>
              <w:rPr>
                <w:sz w:val="15"/>
                <w:szCs w:val="15"/>
                <w:color w:val="auto"/>
              </w:rPr>
            </w:pPr>
          </w:p>
        </w:tc>
        <w:tc>
          <w:tcPr>
            <w:tcW w:w="4640" w:type="dxa"/>
            <w:vAlign w:val="bottom"/>
            <w:shd w:val="clear" w:color="auto" w:fill="CCEEFF"/>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You would pay the following expenses on a $1,000 investment,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75"/>
        </w:trPr>
        <w:tc>
          <w:tcPr>
            <w:tcW w:w="20" w:type="dxa"/>
            <w:vAlign w:val="bottom"/>
          </w:tcPr>
          <w:p>
            <w:pPr>
              <w:spacing w:after="0"/>
              <w:rPr>
                <w:sz w:val="23"/>
                <w:szCs w:val="23"/>
                <w:color w:val="auto"/>
              </w:rPr>
            </w:pP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assuming a 5% annual return</w:t>
            </w:r>
            <w:r>
              <w:rPr>
                <w:rFonts w:ascii="Times New Roman" w:cs="Times New Roman" w:eastAsia="Times New Roman" w:hAnsi="Times New Roman"/>
                <w:sz w:val="20"/>
                <w:szCs w:val="20"/>
                <w:color w:val="auto"/>
                <w:vertAlign w:val="superscript"/>
              </w:rPr>
              <w:t>(1)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198"/>
        </w:trPr>
        <w:tc>
          <w:tcPr>
            <w:tcW w:w="20" w:type="dxa"/>
            <w:vAlign w:val="bottom"/>
          </w:tcPr>
          <w:p>
            <w:pPr>
              <w:spacing w:after="0"/>
              <w:rPr>
                <w:sz w:val="17"/>
                <w:szCs w:val="17"/>
                <w:color w:val="auto"/>
              </w:rPr>
            </w:pPr>
          </w:p>
        </w:tc>
        <w:tc>
          <w:tcPr>
            <w:tcW w:w="464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You would pay the following expenses on a $1,000 investment,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assuming a 5% annual return entirely from realized gains</w:t>
            </w:r>
            <w:r>
              <w:rPr>
                <w:rFonts w:ascii="Times New Roman" w:cs="Times New Roman" w:eastAsia="Times New Roman" w:hAnsi="Times New Roman"/>
                <w:sz w:val="20"/>
                <w:szCs w:val="20"/>
                <w:color w:val="auto"/>
                <w:w w:val="99"/>
                <w:vertAlign w:val="superscript"/>
              </w:rPr>
              <w:t>(2)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bl>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69" w:lineRule="auto"/>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we will not realize any capital gains computed net of all realized capital losses and unrealized capital depreciation.</w:t>
      </w:r>
    </w:p>
    <w:p>
      <w:pPr>
        <w:jc w:val="both"/>
        <w:ind w:left="980" w:right="559" w:hanging="436"/>
        <w:spacing w:after="0" w:line="272" w:lineRule="auto"/>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unrealized capital depreciation and a 5% annual return resulting entirely from net realized capital gains and not otherwise deferrable under the terms of the Investment Advisory Agreement and therefore subject to the incentive fee based on capital gains. Because our investment strategy involves investments that generate primarily current income, we believe that a 5% annual return resulting entirely from net realized capital gains is unlikely.</w:t>
      </w:r>
    </w:p>
    <w:p>
      <w:pPr>
        <w:spacing w:after="0" w:line="315"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example and the expenses in the tables above should not be considered a representation of our </w:t>
      </w:r>
      <w:r>
        <w:rPr>
          <w:rFonts w:ascii="Times New Roman" w:cs="Times New Roman" w:eastAsia="Times New Roman" w:hAnsi="Times New Roman"/>
          <w:sz w:val="18"/>
          <w:szCs w:val="18"/>
          <w:b w:val="1"/>
          <w:bCs w:val="1"/>
          <w:color w:val="auto"/>
        </w:rPr>
        <w:t>future expenses, and actual expenses may be greater or less than those shown</w:t>
      </w:r>
      <w:r>
        <w:rPr>
          <w:rFonts w:ascii="Times New Roman" w:cs="Times New Roman" w:eastAsia="Times New Roman" w:hAnsi="Times New Roman"/>
          <w:sz w:val="18"/>
          <w:szCs w:val="18"/>
          <w:color w:val="auto"/>
        </w:rPr>
        <w:t>. Moreover, while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assumes, as required by the SEC, a 5.0% annual return, our performance will vary and may result in a return greater or less than 5.0%. The income incentive fee under our Investment Advisory Agreement, which, assuming a 5% annual return, would either not be payable or would have an insignificant impact on the expense amounts shown above, is not included in the example. If we achieve sufficient returns on our investments to trigger an income incentive fee of a material amount, our expenses, and returns to our investors, would be higher. In addition, while the example assumes reinvestment of all distributions at net asset value, participants in our distribution reinvestment plan may receive shares valued at the market price in effect at that time. This price may be at, above or below net asset value. See “Distribution Reinvestment Plan” for additional information regarding our distribution reinvestment plan.</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033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147310" cy="1033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62" w:lineRule="exact"/>
        <w:rPr>
          <w:sz w:val="20"/>
          <w:szCs w:val="20"/>
          <w:color w:val="auto"/>
        </w:rPr>
      </w:pPr>
    </w:p>
    <w:p>
      <w:pPr>
        <w:jc w:val="both"/>
        <w:ind w:left="540" w:right="559"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regarding our financial highlights is incorporated by reference herein from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jc w:val="both"/>
        <w:ind w:left="460" w:right="459" w:firstLine="432"/>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related free writing prospectus we may authorize in connection with a specific offering, “Part I, Item 1A. Risk Factors” in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2025, filed with the SEC on March 6, 2026, which is incorporated by reference herein in its entirety, and any document </w:t>
      </w:r>
      <w:hyperlink r:id="rId57">
        <w:r>
          <w:rPr>
            <w:rFonts w:ascii="Times New Roman" w:cs="Times New Roman" w:eastAsia="Times New Roman" w:hAnsi="Times New Roman"/>
            <w:sz w:val="18"/>
            <w:szCs w:val="18"/>
            <w:u w:val="single" w:color="auto"/>
            <w:color w:val="0000EE"/>
          </w:rPr>
          <w:t>incorporated</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business, operations and performance. If any of the following events occur, our business, financial condition and results of operations could be materially and adversely affected. In such case, you may lose all or part of your investment. Please also read carefully the section titled “Cautionary Statement Regarding Forward-Looking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herein, contains forward-looking statements that involve substantial risks and uncertainties. These forward-looking statements are not historical facts, but rather are based on current expectations, estimates and projections about Oxford Square,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involve risks and uncertainties, including statements as to:</w:t>
      </w:r>
    </w:p>
    <w:p>
      <w:pPr>
        <w:spacing w:after="0" w:line="124"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our ability to achieve objectives;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and CLOs, particularly those having no liquid trading market;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our ability to access alternative debt markets and additional debt and equity capital;</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CLO investments;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monitor and administer our investments.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12" w:lineRule="exact"/>
        <w:rPr>
          <w:sz w:val="20"/>
          <w:szCs w:val="20"/>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industry trends and other external factors, including government shutdowns and uncertainty surrounding the financial and political stability of the United States and other countries;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its impact on our investment activities and the industries in which we invest;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information technology system failures, data security breaches, data privacy compliance, network disruptions and cybersecurity attacks;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“Item 1A. Risk Factors” in our most recent Annual Report on Form 10-K, as well as in any of our subsequent SEC filings.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“Item 1A. Risk Factors” in our most recent Annual Report on Form 10-K, as well as in any of our subsequent SEC filings. You should not place undue reliance on these forward-looking statements, which apply only as of the date of this prospectus. However, we will update this prospectus, and the documents that we incorporate by reference herein, to reflect any material changes to the information contained herein. Because we are an investment company, the forward-looking statements and projections contained in this prospectus, including the documents that we incorporate by reference herein, are excluded from the safe harbor protections provided by Section 27A of the Securities Act and Section 21E of the Exchange Act (the “safe harbor” provisions of the Private Securities Litigation Reform Act of 1995).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sale of our securities pursuant to this prospectus for general corporate purposes, which may include investments in corporate debt and equity securities and investments in collateralized loan obligations. The supplement to this prospectus relating to an offering will more fully identify the use of the proceeds from such offering.</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estimate that it will take up to six months for us to substantially invest the net proceeds of any offering made pursuant to this prospectus, depending on the availability of attractive opportunities and market conditions. However, we can offer no assurance that we will be able to achieve this goal.</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Pending these uses, we will invest such net proceeds primarily in cash, cash equivalents, and U.S. government securities and other high-quality debt investments that mature in one year or less, which are consistent with maintaining our election as a RIC. These temporary investments are expected to provide a lower net return than we hope to achieve from our target investments. The management fee payable by us to our investment adviser will not be reduced while our assets are invested in such temporary investments.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148" w:lineRule="exact"/>
        <w:rPr>
          <w:sz w:val="20"/>
          <w:szCs w:val="20"/>
          <w:color w:val="auto"/>
        </w:rPr>
      </w:pPr>
    </w:p>
    <w:p>
      <w:pPr>
        <w:jc w:val="both"/>
        <w:ind w:left="460" w:right="459" w:firstLine="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information is qualified by reference to, and should be read in conjunction with, the information in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regarding the price range of our common stock, distributions and stockholders of record, which is incorporated by reference herein.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“OXSQ.” The following table sets forth, for each fiscal quarter during the last two fiscal years and the current fiscal year to date, the net asset value, or “NAV,” per share of our common stock, the high and low intraday sales prices for our common stock, such sales prices as a percentage of NAV per share and quarterly distributions per share.</w:t>
      </w:r>
    </w:p>
    <w:p>
      <w:pPr>
        <w:spacing w:after="0" w:line="200" w:lineRule="exact"/>
        <w:rPr>
          <w:sz w:val="20"/>
          <w:szCs w:val="20"/>
          <w:color w:val="auto"/>
        </w:rPr>
      </w:pP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Premium or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Premium or</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(Discount) of</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4"/>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Price Range</w:t>
            </w: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High Sales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Low Sales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Price to</w:t>
            </w:r>
          </w:p>
        </w:tc>
        <w:tc>
          <w:tcPr>
            <w:tcW w:w="106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Price to</w:t>
            </w:r>
          </w:p>
        </w:tc>
        <w:tc>
          <w:tcPr>
            <w:tcW w:w="1060" w:type="dxa"/>
            <w:vAlign w:val="bottom"/>
            <w:gridSpan w:val="2"/>
            <w:vMerge w:val="restart"/>
          </w:tcPr>
          <w:p>
            <w:pPr>
              <w:jc w:val="right"/>
              <w:ind w:right="19"/>
              <w:spacing w:after="0" w:line="145" w:lineRule="exact"/>
              <w:rPr>
                <w:sz w:val="20"/>
                <w:szCs w:val="20"/>
                <w:color w:val="auto"/>
              </w:rPr>
            </w:pPr>
            <w:r>
              <w:rPr>
                <w:rFonts w:ascii="Times New Roman" w:cs="Times New Roman" w:eastAsia="Times New Roman" w:hAnsi="Times New Roman"/>
                <w:sz w:val="16"/>
                <w:szCs w:val="16"/>
                <w:b w:val="1"/>
                <w:bCs w:val="1"/>
                <w:color w:val="auto"/>
              </w:rPr>
              <w:t>Distributions</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NAV</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3"/>
                <w:szCs w:val="2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0"/>
              </w:rPr>
              <w:t>NAV</w:t>
            </w:r>
            <w:r>
              <w:rPr>
                <w:rFonts w:ascii="Times New Roman" w:cs="Times New Roman" w:eastAsia="Times New Roman" w:hAnsi="Times New Roman"/>
                <w:sz w:val="18"/>
                <w:szCs w:val="18"/>
                <w:b w:val="1"/>
                <w:bCs w:val="1"/>
                <w:color w:val="auto"/>
                <w:w w:val="90"/>
                <w:vertAlign w:val="superscript"/>
              </w:rPr>
              <w:t>(2)</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0"/>
              </w:rPr>
              <w:t>NAV</w:t>
            </w:r>
            <w:r>
              <w:rPr>
                <w:rFonts w:ascii="Times New Roman" w:cs="Times New Roman" w:eastAsia="Times New Roman" w:hAnsi="Times New Roman"/>
                <w:sz w:val="18"/>
                <w:szCs w:val="18"/>
                <w:b w:val="1"/>
                <w:bCs w:val="1"/>
                <w:color w:val="auto"/>
                <w:w w:val="90"/>
                <w:vertAlign w:val="superscript"/>
              </w:rPr>
              <w:t>(2)</w:t>
            </w:r>
          </w:p>
        </w:tc>
        <w:tc>
          <w:tcPr>
            <w:tcW w:w="100" w:type="dxa"/>
            <w:vAlign w:val="bottom"/>
          </w:tcPr>
          <w:p>
            <w:pPr>
              <w:spacing w:after="0"/>
              <w:rPr>
                <w:sz w:val="23"/>
                <w:szCs w:val="23"/>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7"/>
              </w:rPr>
              <w:t>Per Share</w:t>
            </w:r>
            <w:r>
              <w:rPr>
                <w:rFonts w:ascii="Times New Roman" w:cs="Times New Roman" w:eastAsia="Times New Roman" w:hAnsi="Times New Roman"/>
                <w:sz w:val="18"/>
                <w:szCs w:val="18"/>
                <w:b w:val="1"/>
                <w:bCs w:val="1"/>
                <w:color w:val="auto"/>
                <w:w w:val="97"/>
                <w:vertAlign w:val="superscript"/>
              </w:rPr>
              <w:t>(3)</w:t>
            </w:r>
          </w:p>
        </w:tc>
        <w:tc>
          <w:tcPr>
            <w:tcW w:w="0" w:type="dxa"/>
            <w:vAlign w:val="bottom"/>
          </w:tcPr>
          <w:p>
            <w:pPr>
              <w:spacing w:after="0"/>
              <w:rPr>
                <w:sz w:val="1"/>
                <w:szCs w:val="1"/>
                <w:color w:val="auto"/>
              </w:rPr>
            </w:pPr>
          </w:p>
        </w:tc>
      </w:tr>
      <w:tr>
        <w:trPr>
          <w:trHeight w:val="261"/>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2026</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6"/>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31.9%</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Fourth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0.225</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0.105</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has not yet been calculated for this period.</w:t>
      </w:r>
    </w:p>
    <w:p>
      <w:pPr>
        <w:spacing w:after="0" w:line="26" w:lineRule="exact"/>
        <w:rPr>
          <w:sz w:val="20"/>
          <w:szCs w:val="20"/>
          <w:color w:val="auto"/>
        </w:rPr>
      </w:pPr>
    </w:p>
    <w:p>
      <w:pPr>
        <w:jc w:val="both"/>
        <w:ind w:left="880" w:right="479" w:hanging="426"/>
        <w:spacing w:after="0" w:line="264" w:lineRule="auto"/>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880" w:hanging="426"/>
        <w:spacing w:after="0"/>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the respective high or low intraday sales price divided by NAV and subtracting 1.</w:t>
      </w:r>
    </w:p>
    <w:p>
      <w:pPr>
        <w:spacing w:after="0" w:line="18" w:lineRule="exact"/>
        <w:rPr>
          <w:rFonts w:ascii="Times New Roman" w:cs="Times New Roman" w:eastAsia="Times New Roman" w:hAnsi="Times New Roman"/>
          <w:sz w:val="16"/>
          <w:szCs w:val="16"/>
          <w:color w:val="auto"/>
        </w:rPr>
      </w:pPr>
    </w:p>
    <w:p>
      <w:pPr>
        <w:ind w:left="880" w:right="459" w:hanging="426"/>
        <w:spacing w:after="0" w:line="288" w:lineRule="auto"/>
        <w:tabs>
          <w:tab w:leader="none" w:pos="8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distributions, including dividends, dividends reinvested and returns of capital, if any, per share that we have declared on our common stock in the specified quarter.</w:t>
      </w:r>
    </w:p>
    <w:p>
      <w:pPr>
        <w:spacing w:after="0" w:line="10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It is not possible to predict whether the shares offered hereby will trade at, above, or below net asset value.</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April 14, 2026, the last reported sales price of our common stock was $1.91 per share. As of April 8, 2026, we had 128 stockholders of record.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6" w:lineRule="exact"/>
        <w:rPr>
          <w:sz w:val="20"/>
          <w:szCs w:val="20"/>
          <w:color w:val="auto"/>
        </w:rPr>
      </w:pPr>
    </w:p>
    <w:p>
      <w:pPr>
        <w:jc w:val="both"/>
        <w:ind w:left="460" w:right="459"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“Part II, Item 7. Management’s Discussion and Analysis of Financial Condition and Results of Operations” in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is incorporated by reference herein.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148" w:lineRule="exact"/>
        <w:rPr>
          <w:sz w:val="20"/>
          <w:szCs w:val="20"/>
          <w:color w:val="auto"/>
        </w:rPr>
      </w:pPr>
    </w:p>
    <w:p>
      <w:pPr>
        <w:jc w:val="both"/>
        <w:ind w:left="460" w:right="459" w:firstLine="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as of each of the years ended December 31, 2025, 2024, 2023, 2022, 2021, 2020, 2019, 2018, 2017 and 2016 may be found in “Part II, Item 8. Financial Statements and Supplementary Data” of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which is incorporated by reference herein. The report of PricewaterhouseCoopers LLP, an independent registered public accounting firm, on our financial statements as of December 31, 2025, of which the Senior Securities table as of December 2025, 2024, 2023, 2022 and 2021 is a part, has been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148" w:lineRule="exact"/>
        <w:rPr>
          <w:sz w:val="20"/>
          <w:szCs w:val="20"/>
          <w:color w:val="auto"/>
        </w:rPr>
      </w:pPr>
    </w:p>
    <w:p>
      <w:pPr>
        <w:jc w:val="both"/>
        <w:ind w:left="460" w:right="459" w:firstLine="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table sets forth certain information as of December 31, 2025 regarding each portfolio company in which we have a debt or equity investment. The general terms of our loans and other investments are described in “Item 1. Business — Investment Process” in our most recent Annual Report on </w:t>
      </w:r>
      <w:hyperlink r:id="rId57">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We offer to make available significant managerial assistance to our qualified portfolio companies. We may receive rights to observe the meetings of our portfolio companies’ board of directors. Other than these investments, our only relationships with our portfolio companies are the managerial assistance we may separately provide to our portfolio companies, which services would be ancillary to our investments.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SQUARE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80" w:type="dxa"/>
            <w:vAlign w:val="bottom"/>
            <w:vMerge w:val="restart"/>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CLASS</w:t>
            </w: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ADDRESS</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4"/>
                <w:szCs w:val="14"/>
                <w:b w:val="1"/>
                <w:bCs w:val="1"/>
                <w:color w:val="auto"/>
                <w:vertAlign w:val="superscript"/>
              </w:rPr>
              <w:t>(2)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r>
        <w:trPr>
          <w:trHeight w:val="263"/>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Senior Secured Notes</w:t>
            </w: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 Services</w:t>
            </w:r>
          </w:p>
        </w:tc>
        <w:tc>
          <w:tcPr>
            <w:tcW w:w="820" w:type="dxa"/>
            <w:vAlign w:val="bottom"/>
            <w:tcBorders>
              <w:top w:val="single" w:sz="8" w:color="CCEEFF"/>
            </w:tcBorders>
            <w:gridSpan w:val="2"/>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Access CIG, LLC</w:t>
            </w: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12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 lien senior secured</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6818 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gridSpan w:val="3"/>
            <w:vMerge w:val="restart"/>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7.72% (SOFR +</w:t>
            </w:r>
          </w:p>
        </w:tc>
        <w:tc>
          <w:tcPr>
            <w:tcW w:w="9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gridSpan w:val="3"/>
            <w:vMerge w:val="continue"/>
          </w:tcPr>
          <w:p>
            <w:pPr>
              <w:spacing w:after="0"/>
              <w:rPr>
                <w:sz w:val="8"/>
                <w:szCs w:val="8"/>
                <w:color w:val="auto"/>
              </w:rPr>
            </w:pPr>
          </w:p>
        </w:tc>
        <w:tc>
          <w:tcPr>
            <w:tcW w:w="9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Patterson Pass</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gridSpan w:val="3"/>
            <w:vMerge w:val="restart"/>
          </w:tcPr>
          <w:p>
            <w:pPr>
              <w:ind w:left="540"/>
              <w:spacing w:after="0" w:line="157" w:lineRule="exact"/>
              <w:rPr>
                <w:sz w:val="20"/>
                <w:szCs w:val="20"/>
                <w:color w:val="auto"/>
              </w:rPr>
            </w:pPr>
            <w:r>
              <w:rPr>
                <w:rFonts w:ascii="Times New Roman" w:cs="Times New Roman" w:eastAsia="Times New Roman" w:hAnsi="Times New Roman"/>
                <w:sz w:val="14"/>
                <w:szCs w:val="14"/>
                <w:color w:val="auto"/>
              </w:rPr>
              <w:t>4.00%), (0.50% floor)</w:t>
            </w:r>
          </w:p>
        </w:tc>
        <w:tc>
          <w:tcPr>
            <w:tcW w:w="9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120" w:type="dxa"/>
            <w:vAlign w:val="bottom"/>
            <w:gridSpan w:val="3"/>
            <w:vMerge w:val="continue"/>
          </w:tcPr>
          <w:p>
            <w:pPr>
              <w:spacing w:after="0"/>
              <w:rPr>
                <w:sz w:val="9"/>
                <w:szCs w:val="9"/>
                <w:color w:val="auto"/>
              </w:rPr>
            </w:pPr>
          </w:p>
        </w:tc>
        <w:tc>
          <w:tcPr>
            <w:tcW w:w="9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Road,</w:t>
            </w: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120" w:type="dxa"/>
            <w:vAlign w:val="bottom"/>
            <w:gridSpan w:val="3"/>
            <w:vMerge w:val="restart"/>
          </w:tcPr>
          <w:p>
            <w:pPr>
              <w:ind w:left="540"/>
              <w:spacing w:after="0" w:line="190" w:lineRule="exact"/>
              <w:rPr>
                <w:sz w:val="20"/>
                <w:szCs w:val="20"/>
                <w:color w:val="auto"/>
              </w:rPr>
            </w:pPr>
            <w:r>
              <w:rPr>
                <w:rFonts w:ascii="Times New Roman" w:cs="Times New Roman" w:eastAsia="Times New Roman" w:hAnsi="Times New Roman"/>
                <w:sz w:val="14"/>
                <w:szCs w:val="14"/>
                <w:color w:val="auto"/>
              </w:rPr>
              <w:t>due August 19, 2030</w:t>
            </w:r>
            <w:r>
              <w:rPr>
                <w:rFonts w:ascii="Times New Roman" w:cs="Times New Roman" w:eastAsia="Times New Roman" w:hAnsi="Times New Roman"/>
                <w:sz w:val="21"/>
                <w:szCs w:val="21"/>
                <w:color w:val="auto"/>
                <w:vertAlign w:val="superscript"/>
              </w:rPr>
              <w:t>(4)(6)</w:t>
            </w:r>
          </w:p>
        </w:tc>
        <w:tc>
          <w:tcPr>
            <w:tcW w:w="9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August 15,</w:t>
            </w: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120" w:type="dxa"/>
            <w:vAlign w:val="bottom"/>
            <w:gridSpan w:val="3"/>
            <w:vMerge w:val="continue"/>
          </w:tcPr>
          <w:p>
            <w:pPr>
              <w:spacing w:after="0"/>
              <w:rPr>
                <w:sz w:val="12"/>
                <w:szCs w:val="12"/>
                <w:color w:val="auto"/>
              </w:rPr>
            </w:pPr>
          </w:p>
        </w:tc>
        <w:tc>
          <w:tcPr>
            <w:tcW w:w="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Livermore,</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$ 10,021,032</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$ 10,021,032</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9,645,243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(14)(23)</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 94550</w:t>
            </w:r>
          </w:p>
        </w:tc>
        <w:tc>
          <w:tcPr>
            <w:tcW w:w="96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120" w:type="dxa"/>
            <w:vAlign w:val="bottom"/>
            <w:gridSpan w:val="3"/>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Convergint Technologies,</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1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LLC</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2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second lien senior secured</w:t>
            </w:r>
          </w:p>
        </w:tc>
        <w:tc>
          <w:tcPr>
            <w:tcW w:w="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One</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120" w:type="dxa"/>
            <w:vAlign w:val="bottom"/>
            <w:gridSpan w:val="3"/>
            <w:vMerge w:val="restart"/>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9.22% (SOFR+</w:t>
            </w:r>
          </w:p>
        </w:tc>
        <w:tc>
          <w:tcPr>
            <w:tcW w:w="940" w:type="dxa"/>
            <w:vAlign w:val="bottom"/>
            <w:gridSpan w:val="2"/>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120" w:type="dxa"/>
            <w:vAlign w:val="bottom"/>
            <w:gridSpan w:val="3"/>
            <w:vMerge w:val="continue"/>
            <w:shd w:val="clear" w:color="auto" w:fill="CCEEFF"/>
          </w:tcPr>
          <w:p>
            <w:pPr>
              <w:spacing w:after="0"/>
              <w:rPr>
                <w:sz w:val="8"/>
                <w:szCs w:val="8"/>
                <w:color w:val="auto"/>
              </w:rPr>
            </w:pPr>
          </w:p>
        </w:tc>
        <w:tc>
          <w:tcPr>
            <w:tcW w:w="940" w:type="dxa"/>
            <w:vAlign w:val="bottom"/>
            <w:gridSpan w:val="2"/>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Commerce</w:t>
            </w: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gridSpan w:val="3"/>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5.50%), (0.75% floor)</w:t>
            </w:r>
          </w:p>
        </w:tc>
        <w:tc>
          <w:tcPr>
            <w:tcW w:w="940" w:type="dxa"/>
            <w:vAlign w:val="bottom"/>
            <w:gridSpan w:val="2"/>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120" w:type="dxa"/>
            <w:vAlign w:val="bottom"/>
            <w:gridSpan w:val="3"/>
            <w:vMerge w:val="continue"/>
            <w:shd w:val="clear" w:color="auto" w:fill="CCEEFF"/>
          </w:tcPr>
          <w:p>
            <w:pPr>
              <w:spacing w:after="0"/>
              <w:rPr>
                <w:sz w:val="9"/>
                <w:szCs w:val="9"/>
                <w:color w:val="auto"/>
              </w:rPr>
            </w:pPr>
          </w:p>
        </w:tc>
        <w:tc>
          <w:tcPr>
            <w:tcW w:w="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Drive</w:t>
            </w: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gridSpan w:val="2"/>
            <w:shd w:val="clear" w:color="auto" w:fill="CCEEFF"/>
          </w:tcPr>
          <w:p>
            <w:pPr>
              <w:ind w:left="1560"/>
              <w:spacing w:after="0" w:line="109" w:lineRule="exact"/>
              <w:rPr>
                <w:sz w:val="20"/>
                <w:szCs w:val="20"/>
                <w:color w:val="auto"/>
              </w:rPr>
            </w:pPr>
            <w:r>
              <w:rPr>
                <w:rFonts w:ascii="Times New Roman" w:cs="Times New Roman" w:eastAsia="Times New Roman" w:hAnsi="Times New Roman"/>
                <w:sz w:val="11"/>
                <w:szCs w:val="11"/>
                <w:color w:val="auto"/>
              </w:rPr>
              <w:t>(4)(5)(14)</w:t>
            </w:r>
          </w:p>
        </w:tc>
        <w:tc>
          <w:tcPr>
            <w:tcW w:w="8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20" w:type="dxa"/>
            <w:vAlign w:val="bottom"/>
            <w:gridSpan w:val="3"/>
            <w:shd w:val="clear" w:color="auto" w:fill="CCEEFF"/>
          </w:tcPr>
          <w:p>
            <w:pPr>
              <w:ind w:left="540"/>
              <w:spacing w:after="0" w:line="81" w:lineRule="exact"/>
              <w:rPr>
                <w:sz w:val="20"/>
                <w:szCs w:val="20"/>
                <w:color w:val="auto"/>
              </w:rPr>
            </w:pPr>
            <w:r>
              <w:rPr>
                <w:rFonts w:ascii="Times New Roman" w:cs="Times New Roman" w:eastAsia="Times New Roman" w:hAnsi="Times New Roman"/>
                <w:sz w:val="9"/>
                <w:szCs w:val="9"/>
                <w:color w:val="auto"/>
              </w:rPr>
              <w:t>due July 29, 2033</w:t>
            </w:r>
          </w:p>
        </w:tc>
        <w:tc>
          <w:tcPr>
            <w:tcW w:w="94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Schaumburg,</w:t>
            </w:r>
          </w:p>
        </w:tc>
        <w:tc>
          <w:tcPr>
            <w:tcW w:w="9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July 23, 2025</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9,950,843</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10,050,000</w:t>
            </w: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(23)</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Illinois 60173</w:t>
            </w:r>
          </w:p>
        </w:tc>
        <w:tc>
          <w:tcPr>
            <w:tcW w:w="9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64" w:orient="portrait"/>
          <w:cols w:equalWidth="0" w:num="1">
            <w:col w:w="9019"/>
          </w:cols>
          <w:pgMar w:left="1440" w:top="270" w:right="1440" w:bottom="0" w:gutter="0" w:footer="0" w:header="0"/>
        </w:sectPr>
      </w:pPr>
    </w:p>
    <w:p>
      <w:pPr>
        <w:spacing w:after="0" w:line="59" w:lineRule="exact"/>
        <w:rPr>
          <w:sz w:val="20"/>
          <w:szCs w:val="20"/>
          <w:color w:val="auto"/>
        </w:rPr>
      </w:pPr>
    </w:p>
    <w:p>
      <w:pPr>
        <w:ind w:left="1000" w:right="40" w:hanging="179"/>
        <w:spacing w:after="0" w:line="264" w:lineRule="auto"/>
        <w:rPr>
          <w:sz w:val="20"/>
          <w:szCs w:val="20"/>
          <w:color w:val="auto"/>
        </w:rPr>
      </w:pPr>
      <w:r>
        <w:rPr>
          <w:rFonts w:ascii="Times New Roman" w:cs="Times New Roman" w:eastAsia="Times New Roman" w:hAnsi="Times New Roman"/>
          <w:sz w:val="14"/>
          <w:szCs w:val="14"/>
          <w:b w:val="1"/>
          <w:bCs w:val="1"/>
          <w:color w:val="auto"/>
        </w:rPr>
        <w:t>Verifone, Inc. (f/k/a Verifone Systems, Inc.)</w:t>
      </w:r>
    </w:p>
    <w:p>
      <w:pPr>
        <w:spacing w:after="0" w:line="228"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first lien senior secured notes, 9.35% (SOFR + 5.25%), (0.00% floor) due August 18, 2028</w:t>
      </w:r>
      <w:r>
        <w:rPr>
          <w:rFonts w:ascii="Times New Roman" w:cs="Times New Roman" w:eastAsia="Times New Roman" w:hAnsi="Times New Roman"/>
          <w:sz w:val="19"/>
          <w:szCs w:val="19"/>
          <w:color w:val="auto"/>
          <w:vertAlign w:val="superscript"/>
        </w:rPr>
        <w:t>(4)(5)</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(6)(14)(16)</w:t>
      </w:r>
    </w:p>
    <w:p>
      <w:pPr>
        <w:spacing w:after="0" w:line="1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Total Business Services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One</w:t>
            </w: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Letterman</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Drive,</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C,</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Suite 410 San</w:t>
            </w:r>
          </w:p>
        </w:tc>
        <w:tc>
          <w:tcPr>
            <w:tcW w:w="680" w:type="dxa"/>
            <w:vAlign w:val="bottom"/>
          </w:tcPr>
          <w:p>
            <w:pPr>
              <w:spacing w:after="0"/>
              <w:rPr>
                <w:sz w:val="12"/>
                <w:szCs w:val="12"/>
                <w:color w:val="auto"/>
              </w:rPr>
            </w:pPr>
          </w:p>
        </w:tc>
        <w:tc>
          <w:tcPr>
            <w:tcW w:w="10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March 28,</w:t>
            </w: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Francisco,</w:t>
            </w:r>
          </w:p>
        </w:tc>
        <w:tc>
          <w:tcPr>
            <w:tcW w:w="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CA 94120</w:t>
            </w: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13,162,936</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12,145,783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12,471,882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0" w:type="dxa"/>
            <w:vAlign w:val="bottom"/>
          </w:tcPr>
          <w:p>
            <w:pPr>
              <w:spacing w:after="0" w:line="20" w:lineRule="exact"/>
              <w:rPr>
                <w:sz w:val="1"/>
                <w:szCs w:val="1"/>
                <w:color w:val="auto"/>
              </w:rPr>
            </w:pPr>
          </w:p>
        </w:tc>
      </w:tr>
      <w:tr>
        <w:trPr>
          <w:trHeight w:val="265"/>
        </w:trPr>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$ 32,117,658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$ 32,167,125</w:t>
            </w:r>
          </w:p>
        </w:tc>
        <w:tc>
          <w:tcPr>
            <w:tcW w:w="80" w:type="dxa"/>
            <w:vAlign w:val="bottom"/>
          </w:tcPr>
          <w:p>
            <w:pPr>
              <w:spacing w:after="0"/>
              <w:rPr>
                <w:sz w:val="23"/>
                <w:szCs w:val="23"/>
                <w:color w:val="auto"/>
              </w:rPr>
            </w:pPr>
          </w:p>
        </w:tc>
        <w:tc>
          <w:tcPr>
            <w:tcW w:w="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-1088390</wp:posOffset>
            </wp:positionV>
            <wp:extent cx="514350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-187960</wp:posOffset>
            </wp:positionV>
            <wp:extent cx="514350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179705</wp:posOffset>
            </wp:positionV>
            <wp:extent cx="514350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64" w:orient="portrait"/>
          <w:cols w:equalWidth="0" w:num="2">
            <w:col w:w="2440" w:space="140"/>
            <w:col w:w="6439"/>
          </w:cols>
          <w:pgMar w:left="1440" w:top="270" w:right="1440" w:bottom="0" w:gutter="0" w:footer="0" w:header="0"/>
          <w:type w:val="continuous"/>
        </w:sectPr>
      </w:pPr>
    </w:p>
    <w:p>
      <w:pPr>
        <w:spacing w:after="0" w:line="153" w:lineRule="exact"/>
        <w:rPr>
          <w:sz w:val="20"/>
          <w:szCs w:val="20"/>
          <w:color w:val="auto"/>
        </w:rPr>
      </w:pPr>
    </w:p>
    <w:p>
      <w:pPr>
        <w:ind w:left="820" w:right="240" w:hanging="179"/>
        <w:spacing w:after="0" w:line="353" w:lineRule="auto"/>
        <w:rPr>
          <w:sz w:val="20"/>
          <w:szCs w:val="20"/>
          <w:color w:val="auto"/>
        </w:rPr>
      </w:pPr>
      <w:r>
        <w:rPr>
          <w:rFonts w:ascii="Times New Roman" w:cs="Times New Roman" w:eastAsia="Times New Roman" w:hAnsi="Times New Roman"/>
          <w:sz w:val="14"/>
          <w:szCs w:val="14"/>
          <w:b w:val="1"/>
          <w:bCs w:val="1"/>
          <w:color w:val="auto"/>
        </w:rPr>
        <w:t>Food and Beverage Shearer’s Foods, LLC</w:t>
      </w:r>
    </w:p>
    <w:p>
      <w:pPr>
        <w:spacing w:after="0" w:line="1" w:lineRule="exact"/>
        <w:rPr>
          <w:sz w:val="20"/>
          <w:szCs w:val="20"/>
          <w:color w:val="auto"/>
        </w:rPr>
      </w:pPr>
    </w:p>
    <w:p>
      <w:pPr>
        <w:ind w:left="1000" w:right="120" w:hanging="179"/>
        <w:spacing w:after="0" w:line="231" w:lineRule="auto"/>
        <w:rPr>
          <w:sz w:val="20"/>
          <w:szCs w:val="20"/>
          <w:color w:val="auto"/>
        </w:rPr>
      </w:pPr>
      <w:r>
        <w:rPr>
          <w:rFonts w:ascii="Times New Roman" w:cs="Times New Roman" w:eastAsia="Times New Roman" w:hAnsi="Times New Roman"/>
          <w:sz w:val="14"/>
          <w:szCs w:val="14"/>
          <w:color w:val="auto"/>
        </w:rPr>
        <w:t>first lien senior secured notes, 6.47% (SOFR + 2.75%), (0.00% floor)</w:t>
      </w:r>
    </w:p>
    <w:p>
      <w:pPr>
        <w:ind w:left="1000"/>
        <w:spacing w:after="0" w:line="209" w:lineRule="auto"/>
        <w:rPr>
          <w:sz w:val="20"/>
          <w:szCs w:val="20"/>
          <w:color w:val="auto"/>
        </w:rPr>
      </w:pPr>
      <w:r>
        <w:rPr>
          <w:rFonts w:ascii="Times New Roman" w:cs="Times New Roman" w:eastAsia="Times New Roman" w:hAnsi="Times New Roman"/>
          <w:sz w:val="13"/>
          <w:szCs w:val="13"/>
          <w:color w:val="auto"/>
        </w:rPr>
        <w:t>due February 12, 2031</w:t>
      </w:r>
      <w:r>
        <w:rPr>
          <w:rFonts w:ascii="Times New Roman" w:cs="Times New Roman" w:eastAsia="Times New Roman" w:hAnsi="Times New Roman"/>
          <w:sz w:val="19"/>
          <w:szCs w:val="19"/>
          <w:color w:val="auto"/>
          <w:vertAlign w:val="superscript"/>
        </w:rPr>
        <w:t>(4)</w:t>
      </w:r>
    </w:p>
    <w:p>
      <w:pPr>
        <w:ind w:left="1000"/>
        <w:spacing w:after="0"/>
        <w:rPr>
          <w:sz w:val="20"/>
          <w:szCs w:val="20"/>
          <w:color w:val="auto"/>
        </w:rPr>
      </w:pPr>
      <w:r>
        <w:rPr>
          <w:rFonts w:ascii="Times New Roman" w:cs="Times New Roman" w:eastAsia="Times New Roman" w:hAnsi="Times New Roman"/>
          <w:sz w:val="11"/>
          <w:szCs w:val="11"/>
          <w:color w:val="auto"/>
        </w:rPr>
        <w:t>(5)(6)(14)(23)</w:t>
      </w:r>
    </w:p>
    <w:p>
      <w:pPr>
        <w:spacing w:after="0" w:line="5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Total Food and</w:t>
      </w:r>
    </w:p>
    <w:p>
      <w:pPr>
        <w:spacing w:after="0" w:line="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Beverage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hanging="253"/>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Lincoln</w:t>
      </w:r>
    </w:p>
    <w:p>
      <w:pPr>
        <w:spacing w:after="0" w:line="3" w:lineRule="exact"/>
        <w:rPr>
          <w:rFonts w:ascii="Times New Roman" w:cs="Times New Roman" w:eastAsia="Times New Roman" w:hAnsi="Times New Roman"/>
          <w:sz w:val="14"/>
          <w:szCs w:val="14"/>
          <w:color w:val="auto"/>
        </w:rPr>
      </w:pPr>
    </w:p>
    <w:p>
      <w:pPr>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Way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-312420</wp:posOffset>
            </wp:positionV>
            <wp:extent cx="5143500" cy="53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143500" cy="531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9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Massillon,</w:t>
            </w:r>
          </w:p>
        </w:tc>
        <w:tc>
          <w:tcPr>
            <w:tcW w:w="760" w:type="dxa"/>
            <w:vAlign w:val="bottom"/>
          </w:tcPr>
          <w:p>
            <w:pPr>
              <w:spacing w:after="0"/>
              <w:rPr>
                <w:sz w:val="11"/>
                <w:szCs w:val="11"/>
                <w:color w:val="auto"/>
              </w:rPr>
            </w:pPr>
          </w:p>
        </w:tc>
        <w:tc>
          <w:tcPr>
            <w:tcW w:w="1040" w:type="dxa"/>
            <w:vAlign w:val="bottom"/>
          </w:tcPr>
          <w:p>
            <w:pPr>
              <w:jc w:val="center"/>
              <w:ind w:left="108"/>
              <w:spacing w:after="0" w:line="133" w:lineRule="exact"/>
              <w:rPr>
                <w:sz w:val="20"/>
                <w:szCs w:val="20"/>
                <w:color w:val="auto"/>
              </w:rPr>
            </w:pPr>
            <w:r>
              <w:rPr>
                <w:rFonts w:ascii="Times New Roman" w:cs="Times New Roman" w:eastAsia="Times New Roman" w:hAnsi="Times New Roman"/>
                <w:sz w:val="14"/>
                <w:szCs w:val="14"/>
                <w:color w:val="auto"/>
              </w:rPr>
              <w:t>January 31,</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OH 44646</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9,850,687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9,874,427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9,837,290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w:t>
            </w:r>
          </w:p>
        </w:tc>
        <w:tc>
          <w:tcPr>
            <w:tcW w:w="0" w:type="dxa"/>
            <w:vAlign w:val="bottom"/>
          </w:tcPr>
          <w:p>
            <w:pPr>
              <w:spacing w:after="0" w:line="20" w:lineRule="exact"/>
              <w:rPr>
                <w:sz w:val="1"/>
                <w:szCs w:val="1"/>
                <w:color w:val="auto"/>
              </w:rPr>
            </w:pPr>
          </w:p>
        </w:tc>
      </w:tr>
      <w:tr>
        <w:trPr>
          <w:trHeight w:val="319"/>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9,874,427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9,837,290</w:t>
            </w:r>
          </w:p>
        </w:tc>
        <w:tc>
          <w:tcPr>
            <w:tcW w:w="8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-8255</wp:posOffset>
            </wp:positionV>
            <wp:extent cx="514350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ectPr>
          <w:pgSz w:w="11900" w:h="16864" w:orient="portrait"/>
          <w:cols w:equalWidth="0" w:num="2">
            <w:col w:w="2420" w:space="160"/>
            <w:col w:w="643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8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HealthChannels, Inc.</w:t>
            </w:r>
          </w:p>
        </w:tc>
        <w:tc>
          <w:tcPr>
            <w:tcW w:w="1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(f/k/a ScribeAmerica,</w:t>
            </w:r>
          </w:p>
        </w:tc>
        <w:tc>
          <w:tcPr>
            <w:tcW w:w="1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LLC)</w:t>
            </w: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first lien senior secured</w:t>
            </w:r>
          </w:p>
        </w:tc>
        <w:tc>
          <w:tcPr>
            <w:tcW w:w="110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1200 East Las</w:t>
            </w: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80" w:type="dxa"/>
            <w:vAlign w:val="bottom"/>
            <w:vMerge w:val="continue"/>
          </w:tcPr>
          <w:p>
            <w:pPr>
              <w:spacing w:after="0"/>
              <w:rPr>
                <w:sz w:val="12"/>
                <w:szCs w:val="12"/>
                <w:color w:val="auto"/>
              </w:rPr>
            </w:pPr>
          </w:p>
        </w:tc>
        <w:tc>
          <w:tcPr>
            <w:tcW w:w="110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Olas Blvd,</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10.25% (Prime +</w:t>
            </w:r>
          </w:p>
        </w:tc>
        <w:tc>
          <w:tcPr>
            <w:tcW w:w="1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Suite 201,</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540"/>
              <w:spacing w:after="0" w:line="129" w:lineRule="exact"/>
              <w:rPr>
                <w:sz w:val="20"/>
                <w:szCs w:val="20"/>
                <w:color w:val="auto"/>
              </w:rPr>
            </w:pPr>
            <w:r>
              <w:rPr>
                <w:rFonts w:ascii="Times New Roman" w:cs="Times New Roman" w:eastAsia="Times New Roman" w:hAnsi="Times New Roman"/>
                <w:sz w:val="14"/>
                <w:szCs w:val="14"/>
                <w:color w:val="auto"/>
              </w:rPr>
              <w:t>3.50%) cash, 2.00% PIK,</w:t>
            </w:r>
          </w:p>
        </w:tc>
        <w:tc>
          <w:tcPr>
            <w:tcW w:w="110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color w:val="auto"/>
              </w:rPr>
              <w:t>Fort</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(0.00% floor) due January</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Lauderdale,</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October 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8,833,722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8,838,455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6,360,280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540"/>
              <w:spacing w:after="0" w:line="216" w:lineRule="exact"/>
              <w:rPr>
                <w:sz w:val="20"/>
                <w:szCs w:val="20"/>
                <w:color w:val="auto"/>
              </w:rPr>
            </w:pPr>
            <w:r>
              <w:rPr>
                <w:rFonts w:ascii="Times New Roman" w:cs="Times New Roman" w:eastAsia="Times New Roman" w:hAnsi="Times New Roman"/>
                <w:sz w:val="25"/>
                <w:szCs w:val="25"/>
                <w:color w:val="auto"/>
                <w:vertAlign w:val="subscript"/>
              </w:rPr>
              <w:t>12, 2026</w:t>
            </w:r>
            <w:r>
              <w:rPr>
                <w:rFonts w:ascii="Times New Roman" w:cs="Times New Roman" w:eastAsia="Times New Roman" w:hAnsi="Times New Roman"/>
                <w:sz w:val="10"/>
                <w:szCs w:val="10"/>
                <w:color w:val="auto"/>
              </w:rPr>
              <w:t>(3)(4)(5)(6)(26)</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FL 33301</w:t>
            </w:r>
          </w:p>
        </w:tc>
        <w:tc>
          <w:tcPr>
            <w:tcW w:w="660" w:type="dxa"/>
            <w:vAlign w:val="bottom"/>
            <w:vMerge w:val="continue"/>
          </w:tcPr>
          <w:p>
            <w:pPr>
              <w:spacing w:after="0"/>
              <w:rPr>
                <w:sz w:val="18"/>
                <w:szCs w:val="18"/>
                <w:color w:val="auto"/>
              </w:rPr>
            </w:pPr>
          </w:p>
        </w:tc>
        <w:tc>
          <w:tcPr>
            <w:tcW w:w="10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2018</w:t>
            </w: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Performance Health Inc.</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8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 lien senior secured</w:t>
            </w:r>
          </w:p>
        </w:tc>
        <w:tc>
          <w:tcPr>
            <w:tcW w:w="1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3333 Finley</w:t>
            </w: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7.62% (SOFR +</w:t>
            </w:r>
          </w:p>
        </w:tc>
        <w:tc>
          <w:tcPr>
            <w:tcW w:w="110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80" w:type="dxa"/>
            <w:vAlign w:val="bottom"/>
            <w:vMerge w:val="continue"/>
            <w:shd w:val="clear" w:color="auto" w:fill="CCEEFF"/>
          </w:tcPr>
          <w:p>
            <w:pPr>
              <w:spacing w:after="0"/>
              <w:rPr>
                <w:sz w:val="8"/>
                <w:szCs w:val="8"/>
                <w:color w:val="auto"/>
              </w:rPr>
            </w:pPr>
          </w:p>
        </w:tc>
        <w:tc>
          <w:tcPr>
            <w:tcW w:w="1100" w:type="dxa"/>
            <w:vAlign w:val="bottom"/>
            <w:vMerge w:val="restart"/>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Road, Suite</w:t>
            </w: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3.75%), (0.00% floor)</w:t>
            </w:r>
          </w:p>
        </w:tc>
        <w:tc>
          <w:tcPr>
            <w:tcW w:w="1100" w:type="dxa"/>
            <w:vAlign w:val="bottom"/>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80" w:type="dxa"/>
            <w:vAlign w:val="bottom"/>
            <w:vMerge w:val="continue"/>
            <w:shd w:val="clear" w:color="auto" w:fill="CCEEFF"/>
          </w:tcPr>
          <w:p>
            <w:pPr>
              <w:spacing w:after="0"/>
              <w:rPr>
                <w:sz w:val="9"/>
                <w:szCs w:val="9"/>
                <w:color w:val="auto"/>
              </w:rPr>
            </w:pPr>
          </w:p>
        </w:tc>
        <w:tc>
          <w:tcPr>
            <w:tcW w:w="1100" w:type="dxa"/>
            <w:vAlign w:val="bottom"/>
            <w:vMerge w:val="restart"/>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575 Downer</w:t>
            </w:r>
          </w:p>
        </w:tc>
        <w:tc>
          <w:tcPr>
            <w:tcW w:w="6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80" w:type="dxa"/>
            <w:vAlign w:val="bottom"/>
            <w:vMerge w:val="restart"/>
            <w:shd w:val="clear" w:color="auto" w:fill="CCEEFF"/>
          </w:tcPr>
          <w:p>
            <w:pPr>
              <w:ind w:left="540"/>
              <w:spacing w:after="0" w:line="190" w:lineRule="exact"/>
              <w:rPr>
                <w:sz w:val="20"/>
                <w:szCs w:val="20"/>
                <w:color w:val="auto"/>
              </w:rPr>
            </w:pPr>
            <w:r>
              <w:rPr>
                <w:rFonts w:ascii="Times New Roman" w:cs="Times New Roman" w:eastAsia="Times New Roman" w:hAnsi="Times New Roman"/>
                <w:sz w:val="14"/>
                <w:szCs w:val="14"/>
                <w:color w:val="auto"/>
              </w:rPr>
              <w:t>due March 19, 2032</w:t>
            </w:r>
            <w:r>
              <w:rPr>
                <w:rFonts w:ascii="Times New Roman" w:cs="Times New Roman" w:eastAsia="Times New Roman" w:hAnsi="Times New Roman"/>
                <w:sz w:val="21"/>
                <w:szCs w:val="21"/>
                <w:color w:val="auto"/>
                <w:vertAlign w:val="superscript"/>
              </w:rPr>
              <w:t>(4)(5)</w:t>
            </w:r>
          </w:p>
        </w:tc>
        <w:tc>
          <w:tcPr>
            <w:tcW w:w="1100" w:type="dxa"/>
            <w:vAlign w:val="bottom"/>
            <w:vMerge w:val="continue"/>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4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March 24,</w:t>
            </w: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80" w:type="dxa"/>
            <w:vAlign w:val="bottom"/>
            <w:vMerge w:val="continue"/>
            <w:shd w:val="clear" w:color="auto" w:fill="CCEEFF"/>
          </w:tcPr>
          <w:p>
            <w:pPr>
              <w:spacing w:after="0"/>
              <w:rPr>
                <w:sz w:val="12"/>
                <w:szCs w:val="12"/>
                <w:color w:val="auto"/>
              </w:rPr>
            </w:pPr>
          </w:p>
        </w:tc>
        <w:tc>
          <w:tcPr>
            <w:tcW w:w="11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Grove,</w:t>
            </w:r>
          </w:p>
        </w:tc>
        <w:tc>
          <w:tcPr>
            <w:tcW w:w="6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9,962,469</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9,925,063</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9,813,032</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(6)(14)(16)</w:t>
            </w:r>
          </w:p>
        </w:tc>
        <w:tc>
          <w:tcPr>
            <w:tcW w:w="1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IL 60515</w:t>
            </w:r>
          </w:p>
        </w:tc>
        <w:tc>
          <w:tcPr>
            <w:tcW w:w="66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8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Viant Medical Holdings,</w:t>
            </w:r>
          </w:p>
        </w:tc>
        <w:tc>
          <w:tcPr>
            <w:tcW w:w="1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Inc.</w:t>
            </w:r>
          </w:p>
        </w:tc>
        <w:tc>
          <w:tcPr>
            <w:tcW w:w="1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80" w:type="dxa"/>
            <w:vAlign w:val="bottom"/>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 lien senior secured</w:t>
            </w: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7.72% (SOFR +</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2 Hampshire</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tcPr>
          <w:p>
            <w:pPr>
              <w:ind w:left="540"/>
              <w:spacing w:after="0" w:line="157" w:lineRule="exact"/>
              <w:rPr>
                <w:sz w:val="20"/>
                <w:szCs w:val="20"/>
                <w:color w:val="auto"/>
              </w:rPr>
            </w:pPr>
            <w:r>
              <w:rPr>
                <w:rFonts w:ascii="Times New Roman" w:cs="Times New Roman" w:eastAsia="Times New Roman" w:hAnsi="Times New Roman"/>
                <w:sz w:val="14"/>
                <w:szCs w:val="14"/>
                <w:color w:val="auto"/>
              </w:rPr>
              <w:t>4.00%), (0.00% floor)</w:t>
            </w:r>
          </w:p>
        </w:tc>
        <w:tc>
          <w:tcPr>
            <w:tcW w:w="11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9"/>
                <w:szCs w:val="9"/>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Street</w:t>
            </w: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Pr>
          <w:p>
            <w:pPr>
              <w:ind w:left="1780"/>
              <w:spacing w:after="0" w:line="109" w:lineRule="exact"/>
              <w:rPr>
                <w:sz w:val="20"/>
                <w:szCs w:val="20"/>
                <w:color w:val="auto"/>
              </w:rPr>
            </w:pPr>
            <w:r>
              <w:rPr>
                <w:rFonts w:ascii="Times New Roman" w:cs="Times New Roman" w:eastAsia="Times New Roman" w:hAnsi="Times New Roman"/>
                <w:sz w:val="11"/>
                <w:szCs w:val="11"/>
                <w:color w:val="auto"/>
              </w:rPr>
              <w:t>(4)(5)</w:t>
            </w:r>
          </w:p>
        </w:tc>
        <w:tc>
          <w:tcPr>
            <w:tcW w:w="110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October 16,</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Pr>
          <w:p>
            <w:pPr>
              <w:ind w:left="540"/>
              <w:spacing w:after="0" w:line="81" w:lineRule="exact"/>
              <w:rPr>
                <w:sz w:val="20"/>
                <w:szCs w:val="20"/>
                <w:color w:val="auto"/>
              </w:rPr>
            </w:pPr>
            <w:r>
              <w:rPr>
                <w:rFonts w:ascii="Times New Roman" w:cs="Times New Roman" w:eastAsia="Times New Roman" w:hAnsi="Times New Roman"/>
                <w:sz w:val="9"/>
                <w:szCs w:val="9"/>
                <w:color w:val="auto"/>
              </w:rPr>
              <w:t>due October 29, 2031</w:t>
            </w:r>
          </w:p>
        </w:tc>
        <w:tc>
          <w:tcPr>
            <w:tcW w:w="1100" w:type="dxa"/>
            <w:vAlign w:val="bottom"/>
          </w:tcPr>
          <w:p>
            <w:pPr>
              <w:ind w:left="40"/>
              <w:spacing w:after="0" w:line="81" w:lineRule="exact"/>
              <w:rPr>
                <w:sz w:val="20"/>
                <w:szCs w:val="20"/>
                <w:color w:val="auto"/>
              </w:rPr>
            </w:pPr>
            <w:r>
              <w:rPr>
                <w:rFonts w:ascii="Times New Roman" w:cs="Times New Roman" w:eastAsia="Times New Roman" w:hAnsi="Times New Roman"/>
                <w:sz w:val="9"/>
                <w:szCs w:val="9"/>
                <w:color w:val="auto"/>
              </w:rPr>
              <w:t>Foxborough,</w:t>
            </w:r>
          </w:p>
        </w:tc>
        <w:tc>
          <w:tcPr>
            <w:tcW w:w="6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(6)(23)</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 02035</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5,940,000</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5,915,373</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5,880,600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Healthcare</w:t>
            </w:r>
          </w:p>
        </w:tc>
        <w:tc>
          <w:tcPr>
            <w:tcW w:w="1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15.2%</w:t>
            </w:r>
          </w:p>
        </w:tc>
        <w:tc>
          <w:tcPr>
            <w:tcW w:w="0" w:type="dxa"/>
            <w:vAlign w:val="bottom"/>
          </w:tcPr>
          <w:p>
            <w:pPr>
              <w:spacing w:after="0" w:line="20" w:lineRule="exact"/>
              <w:rPr>
                <w:sz w:val="1"/>
                <w:szCs w:val="1"/>
                <w:color w:val="auto"/>
              </w:rPr>
            </w:pPr>
          </w:p>
        </w:tc>
      </w:tr>
      <w:tr>
        <w:trPr>
          <w:trHeight w:val="263"/>
        </w:trPr>
        <w:tc>
          <w:tcPr>
            <w:tcW w:w="2080" w:type="dxa"/>
            <w:vAlign w:val="bottom"/>
            <w:vMerge w:val="continue"/>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24,678,891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22,053,912</w:t>
            </w:r>
          </w:p>
        </w:tc>
        <w:tc>
          <w:tcPr>
            <w:tcW w:w="6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9019"/>
          </w:cols>
          <w:pgMar w:left="1440" w:top="270" w:right="1440" w:bottom="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940" w:type="dxa"/>
            <w:vAlign w:val="bottom"/>
          </w:tcPr>
          <w:p>
            <w:pPr>
              <w:spacing w:after="0"/>
              <w:rPr>
                <w:sz w:val="13"/>
                <w:szCs w:val="13"/>
                <w:color w:val="auto"/>
              </w:rPr>
            </w:pPr>
          </w:p>
        </w:tc>
        <w:tc>
          <w:tcPr>
            <w:tcW w:w="10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10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 CLASS</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9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PRINCIPAL</w:t>
            </w:r>
          </w:p>
        </w:tc>
        <w:tc>
          <w:tcPr>
            <w:tcW w:w="7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w:t>
            </w:r>
          </w:p>
        </w:tc>
        <w:tc>
          <w:tcPr>
            <w:tcW w:w="58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90"/>
        </w:trPr>
        <w:tc>
          <w:tcPr>
            <w:tcW w:w="1940" w:type="dxa"/>
            <w:vAlign w:val="bottom"/>
            <w:vMerge w:val="continue"/>
          </w:tcPr>
          <w:p>
            <w:pPr>
              <w:spacing w:after="0"/>
              <w:rPr>
                <w:sz w:val="16"/>
                <w:szCs w:val="16"/>
                <w:color w:val="auto"/>
              </w:rPr>
            </w:pPr>
          </w:p>
        </w:tc>
        <w:tc>
          <w:tcPr>
            <w:tcW w:w="104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ADDRESS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9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AMOUNT</w:t>
            </w: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(2)</w:t>
            </w:r>
          </w:p>
        </w:tc>
        <w:tc>
          <w:tcPr>
            <w:tcW w:w="5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right="560" w:hanging="179"/>
        <w:spacing w:after="0" w:line="264" w:lineRule="auto"/>
        <w:rPr>
          <w:sz w:val="20"/>
          <w:szCs w:val="20"/>
          <w:color w:val="auto"/>
        </w:rPr>
      </w:pPr>
      <w:r>
        <w:rPr>
          <w:rFonts w:ascii="Times New Roman" w:cs="Times New Roman" w:eastAsia="Times New Roman" w:hAnsi="Times New Roman"/>
          <w:sz w:val="14"/>
          <w:szCs w:val="14"/>
          <w:b w:val="1"/>
          <w:bCs w:val="1"/>
          <w:u w:val="single" w:color="auto"/>
          <w:color w:val="auto"/>
        </w:rPr>
        <w:t>Senior Secured Notes – (continued)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Industrials</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Highline Warren, LLC</w:t>
      </w:r>
    </w:p>
    <w:p>
      <w:pPr>
        <w:ind w:left="1000"/>
        <w:spacing w:after="0" w:line="227" w:lineRule="auto"/>
        <w:rPr>
          <w:sz w:val="20"/>
          <w:szCs w:val="20"/>
          <w:color w:val="auto"/>
        </w:rPr>
      </w:pPr>
      <w:r>
        <w:rPr>
          <w:rFonts w:ascii="Times New Roman" w:cs="Times New Roman" w:eastAsia="Times New Roman" w:hAnsi="Times New Roman"/>
          <w:sz w:val="14"/>
          <w:szCs w:val="14"/>
          <w:b w:val="1"/>
          <w:bCs w:val="1"/>
          <w:color w:val="auto"/>
        </w:rPr>
        <w:t>(f/k/a Highline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Aftermarket, LLC)</w:t>
      </w:r>
    </w:p>
    <w:p>
      <w:pPr>
        <w:spacing w:after="0" w:line="12" w:lineRule="exact"/>
        <w:rPr>
          <w:sz w:val="20"/>
          <w:szCs w:val="20"/>
          <w:color w:val="auto"/>
        </w:rPr>
      </w:pPr>
    </w:p>
    <w:p>
      <w:pPr>
        <w:ind w:left="1000" w:right="120" w:hanging="179"/>
        <w:spacing w:after="0" w:line="231" w:lineRule="auto"/>
        <w:rPr>
          <w:sz w:val="20"/>
          <w:szCs w:val="20"/>
          <w:color w:val="auto"/>
        </w:rPr>
      </w:pPr>
      <w:r>
        <w:rPr>
          <w:rFonts w:ascii="Times New Roman" w:cs="Times New Roman" w:eastAsia="Times New Roman" w:hAnsi="Times New Roman"/>
          <w:sz w:val="14"/>
          <w:szCs w:val="14"/>
          <w:color w:val="auto"/>
        </w:rPr>
        <w:t>first lien senior secured notes, 7.32% (SOFR + 3.50%), (0.75% floor)</w:t>
      </w:r>
    </w:p>
    <w:p>
      <w:pPr>
        <w:ind w:left="1000"/>
        <w:spacing w:after="0" w:line="209" w:lineRule="auto"/>
        <w:rPr>
          <w:sz w:val="20"/>
          <w:szCs w:val="20"/>
          <w:color w:val="auto"/>
        </w:rPr>
      </w:pPr>
      <w:r>
        <w:rPr>
          <w:rFonts w:ascii="Times New Roman" w:cs="Times New Roman" w:eastAsia="Times New Roman" w:hAnsi="Times New Roman"/>
          <w:sz w:val="13"/>
          <w:szCs w:val="13"/>
          <w:color w:val="auto"/>
        </w:rPr>
        <w:t>due February 19, 2030</w:t>
      </w:r>
      <w:r>
        <w:rPr>
          <w:rFonts w:ascii="Times New Roman" w:cs="Times New Roman" w:eastAsia="Times New Roman" w:hAnsi="Times New Roman"/>
          <w:sz w:val="19"/>
          <w:szCs w:val="19"/>
          <w:color w:val="auto"/>
          <w:vertAlign w:val="superscript"/>
        </w:rPr>
        <w:t>(4)</w:t>
      </w:r>
    </w:p>
    <w:p>
      <w:pPr>
        <w:ind w:left="1000"/>
        <w:spacing w:after="0"/>
        <w:rPr>
          <w:sz w:val="20"/>
          <w:szCs w:val="20"/>
          <w:color w:val="auto"/>
        </w:rPr>
      </w:pPr>
      <w:r>
        <w:rPr>
          <w:rFonts w:ascii="Times New Roman" w:cs="Times New Roman" w:eastAsia="Times New Roman" w:hAnsi="Times New Roman"/>
          <w:sz w:val="11"/>
          <w:szCs w:val="11"/>
          <w:color w:val="auto"/>
        </w:rPr>
        <w:t>(5)(6)(16)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4500 Malone</w:t>
            </w:r>
          </w:p>
        </w:tc>
        <w:tc>
          <w:tcPr>
            <w:tcW w:w="640" w:type="dxa"/>
            <w:vAlign w:val="bottom"/>
          </w:tcPr>
          <w:p>
            <w:pPr>
              <w:spacing w:after="0"/>
              <w:rPr>
                <w:sz w:val="13"/>
                <w:szCs w:val="13"/>
                <w:color w:val="auto"/>
              </w:rPr>
            </w:pPr>
          </w:p>
        </w:tc>
        <w:tc>
          <w:tcPr>
            <w:tcW w:w="10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February 13,</w:t>
            </w: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Rd, Memphis,</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6,940,000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6,940,314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6,970,397</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TN 38118</w:t>
            </w:r>
          </w:p>
        </w:tc>
        <w:tc>
          <w:tcPr>
            <w:tcW w:w="640" w:type="dxa"/>
            <w:vAlign w:val="bottom"/>
            <w:vMerge w:val="continue"/>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-824230</wp:posOffset>
            </wp:positionV>
            <wp:extent cx="514350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14605</wp:posOffset>
            </wp:positionV>
            <wp:extent cx="51435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-1227455</wp:posOffset>
            </wp:positionV>
            <wp:extent cx="514350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6439"/>
          </w:cols>
          <w:pgMar w:left="1440" w:top="270" w:right="1440" w:bottom="1440" w:gutter="0" w:footer="0" w:header="0"/>
          <w:type w:val="continuous"/>
        </w:sectPr>
      </w:pP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Michael Baker</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International, Inc.</w:t>
      </w:r>
    </w:p>
    <w:p>
      <w:pPr>
        <w:sectPr>
          <w:pgSz w:w="11900" w:h="16838" w:orient="portrait"/>
          <w:cols w:equalWidth="0" w:num="1">
            <w:col w:w="9019"/>
          </w:cols>
          <w:pgMar w:left="1440" w:top="270" w:right="1440" w:bottom="1440" w:gutter="0" w:footer="0" w:header="0"/>
          <w:type w:val="continuous"/>
        </w:sectPr>
      </w:pPr>
    </w:p>
    <w:p>
      <w:pPr>
        <w:spacing w:after="0" w:line="12" w:lineRule="exact"/>
        <w:rPr>
          <w:sz w:val="20"/>
          <w:szCs w:val="20"/>
          <w:color w:val="auto"/>
        </w:rPr>
      </w:pPr>
    </w:p>
    <w:p>
      <w:pPr>
        <w:ind w:left="1000" w:right="120" w:hanging="179"/>
        <w:spacing w:after="0" w:line="231" w:lineRule="auto"/>
        <w:rPr>
          <w:sz w:val="20"/>
          <w:szCs w:val="20"/>
          <w:color w:val="auto"/>
        </w:rPr>
      </w:pPr>
      <w:r>
        <w:rPr>
          <w:rFonts w:ascii="Times New Roman" w:cs="Times New Roman" w:eastAsia="Times New Roman" w:hAnsi="Times New Roman"/>
          <w:sz w:val="14"/>
          <w:szCs w:val="14"/>
          <w:color w:val="auto"/>
        </w:rPr>
        <w:t>first lien senior secured notes, 7.84% (SOFR + 4.00%), (0.75% floor)</w:t>
      </w:r>
    </w:p>
    <w:p>
      <w:pPr>
        <w:ind w:left="1000"/>
        <w:spacing w:after="0" w:line="209" w:lineRule="auto"/>
        <w:rPr>
          <w:sz w:val="20"/>
          <w:szCs w:val="20"/>
          <w:color w:val="auto"/>
        </w:rPr>
      </w:pPr>
      <w:r>
        <w:rPr>
          <w:rFonts w:ascii="Times New Roman" w:cs="Times New Roman" w:eastAsia="Times New Roman" w:hAnsi="Times New Roman"/>
          <w:sz w:val="13"/>
          <w:szCs w:val="13"/>
          <w:color w:val="auto"/>
        </w:rPr>
        <w:t>due December 1, 2028</w:t>
      </w:r>
      <w:r>
        <w:rPr>
          <w:rFonts w:ascii="Times New Roman" w:cs="Times New Roman" w:eastAsia="Times New Roman" w:hAnsi="Times New Roman"/>
          <w:sz w:val="19"/>
          <w:szCs w:val="19"/>
          <w:color w:val="auto"/>
          <w:vertAlign w:val="superscript"/>
        </w:rPr>
        <w:t>(4)</w:t>
      </w:r>
    </w:p>
    <w:p>
      <w:pPr>
        <w:jc w:val="center"/>
        <w:ind w:left="180"/>
        <w:spacing w:after="0"/>
        <w:rPr>
          <w:sz w:val="20"/>
          <w:szCs w:val="20"/>
          <w:color w:val="auto"/>
        </w:rPr>
      </w:pPr>
      <w:r>
        <w:rPr>
          <w:rFonts w:ascii="Times New Roman" w:cs="Times New Roman" w:eastAsia="Times New Roman" w:hAnsi="Times New Roman"/>
          <w:sz w:val="11"/>
          <w:szCs w:val="11"/>
          <w:color w:val="auto"/>
        </w:rPr>
        <w:t>(5)(6)(14)(16)</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260" w:hanging="253"/>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w:t>
      </w:r>
    </w:p>
    <w:p>
      <w:pPr>
        <w:spacing w:after="0" w:line="3" w:lineRule="exact"/>
        <w:rPr>
          <w:rFonts w:ascii="Times New Roman" w:cs="Times New Roman" w:eastAsia="Times New Roman" w:hAnsi="Times New Roman"/>
          <w:sz w:val="14"/>
          <w:szCs w:val="14"/>
          <w:color w:val="auto"/>
        </w:rPr>
      </w:pPr>
    </w:p>
    <w:p>
      <w:pPr>
        <w:ind w:right="575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Street Suite 5400 Pittsburgh,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-405765</wp:posOffset>
            </wp:positionV>
            <wp:extent cx="5143500" cy="531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143500" cy="531495"/>
                    </a:xfrm>
                    <a:prstGeom prst="rect">
                      <a:avLst/>
                    </a:prstGeom>
                    <a:noFill/>
                  </pic:spPr>
                </pic:pic>
              </a:graphicData>
            </a:graphic>
          </wp:anchor>
        </w:drawing>
      </w:r>
    </w:p>
    <w:p>
      <w:pPr>
        <w:spacing w:after="0"/>
        <w:tabs>
          <w:tab w:leader="none" w:pos="1280" w:val="left"/>
          <w:tab w:leader="none" w:pos="1900" w:val="left"/>
          <w:tab w:leader="none" w:pos="3000" w:val="left"/>
          <w:tab w:leader="none" w:pos="3860" w:val="left"/>
          <w:tab w:leader="none" w:pos="4700" w:val="left"/>
        </w:tabs>
        <w:rPr>
          <w:sz w:val="20"/>
          <w:szCs w:val="20"/>
          <w:color w:val="auto"/>
        </w:rPr>
      </w:pPr>
      <w:r>
        <w:rPr>
          <w:rFonts w:ascii="Times New Roman" w:cs="Times New Roman" w:eastAsia="Times New Roman" w:hAnsi="Times New Roman"/>
          <w:sz w:val="14"/>
          <w:szCs w:val="14"/>
          <w:color w:val="auto"/>
        </w:rPr>
        <w:t>PA 15219</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May 22, 2024</w:t>
      </w:r>
      <w:r>
        <w:rPr>
          <w:sz w:val="20"/>
          <w:szCs w:val="20"/>
          <w:color w:val="auto"/>
        </w:rPr>
        <w:tab/>
      </w:r>
      <w:r>
        <w:rPr>
          <w:rFonts w:ascii="Times New Roman" w:cs="Times New Roman" w:eastAsia="Times New Roman" w:hAnsi="Times New Roman"/>
          <w:sz w:val="14"/>
          <w:szCs w:val="14"/>
          <w:color w:val="auto"/>
        </w:rPr>
        <w:t>9,850,500</w:t>
      </w:r>
      <w:r>
        <w:rPr>
          <w:sz w:val="20"/>
          <w:szCs w:val="20"/>
          <w:color w:val="auto"/>
        </w:rPr>
        <w:tab/>
      </w:r>
      <w:r>
        <w:rPr>
          <w:rFonts w:ascii="Times New Roman" w:cs="Times New Roman" w:eastAsia="Times New Roman" w:hAnsi="Times New Roman"/>
          <w:sz w:val="14"/>
          <w:szCs w:val="14"/>
          <w:color w:val="auto"/>
        </w:rPr>
        <w:t>9,893,738</w:t>
      </w:r>
      <w:r>
        <w:rPr>
          <w:sz w:val="20"/>
          <w:szCs w:val="20"/>
          <w:color w:val="auto"/>
        </w:rPr>
        <w:tab/>
      </w:r>
      <w:r>
        <w:rPr>
          <w:rFonts w:ascii="Times New Roman" w:cs="Times New Roman" w:eastAsia="Times New Roman" w:hAnsi="Times New Roman"/>
          <w:sz w:val="14"/>
          <w:szCs w:val="14"/>
          <w:color w:val="auto"/>
        </w:rPr>
        <w:t>9,862,813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201930</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6439"/>
          </w:cols>
          <w:pgMar w:left="1440" w:top="270" w:right="1440" w:bottom="1440" w:gutter="0" w:footer="0" w:header="0"/>
          <w:type w:val="continuous"/>
        </w:sectPr>
      </w:pPr>
    </w:p>
    <w:p>
      <w:pPr>
        <w:spacing w:after="0" w:line="1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ProMach Inc.</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first lien senior secured</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East</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80" w:type="dxa"/>
            <w:vAlign w:val="bottom"/>
            <w:vMerge w:val="continue"/>
          </w:tcPr>
          <w:p>
            <w:pPr>
              <w:spacing w:after="0"/>
              <w:rPr>
                <w:sz w:val="8"/>
                <w:szCs w:val="8"/>
                <w:color w:val="auto"/>
              </w:rPr>
            </w:pPr>
          </w:p>
        </w:tc>
        <w:tc>
          <w:tcPr>
            <w:tcW w:w="11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Rivercenter</w:t>
            </w: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6.47% (SOFR +</w:t>
            </w:r>
          </w:p>
        </w:tc>
        <w:tc>
          <w:tcPr>
            <w:tcW w:w="1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80" w:type="dxa"/>
            <w:vAlign w:val="bottom"/>
            <w:vMerge w:val="continue"/>
          </w:tcPr>
          <w:p>
            <w:pPr>
              <w:spacing w:after="0"/>
              <w:rPr>
                <w:sz w:val="8"/>
                <w:szCs w:val="8"/>
                <w:color w:val="auto"/>
              </w:rPr>
            </w:pPr>
          </w:p>
        </w:tc>
        <w:tc>
          <w:tcPr>
            <w:tcW w:w="11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Blvd, Suite</w:t>
            </w:r>
          </w:p>
        </w:tc>
        <w:tc>
          <w:tcPr>
            <w:tcW w:w="6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80" w:type="dxa"/>
            <w:vAlign w:val="bottom"/>
            <w:vMerge w:val="restart"/>
          </w:tcPr>
          <w:p>
            <w:pPr>
              <w:ind w:left="540"/>
              <w:spacing w:after="0" w:line="157" w:lineRule="exact"/>
              <w:rPr>
                <w:sz w:val="20"/>
                <w:szCs w:val="20"/>
                <w:color w:val="auto"/>
              </w:rPr>
            </w:pPr>
            <w:r>
              <w:rPr>
                <w:rFonts w:ascii="Times New Roman" w:cs="Times New Roman" w:eastAsia="Times New Roman" w:hAnsi="Times New Roman"/>
                <w:sz w:val="14"/>
                <w:szCs w:val="14"/>
                <w:color w:val="auto"/>
              </w:rPr>
              <w:t>2.75%), (0.00% floor)</w:t>
            </w:r>
          </w:p>
        </w:tc>
        <w:tc>
          <w:tcPr>
            <w:tcW w:w="1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80" w:type="dxa"/>
            <w:vAlign w:val="bottom"/>
            <w:vMerge w:val="continue"/>
          </w:tcPr>
          <w:p>
            <w:pPr>
              <w:spacing w:after="0"/>
              <w:rPr>
                <w:sz w:val="9"/>
                <w:szCs w:val="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1800,</w:t>
            </w: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Pr>
          <w:p>
            <w:pPr>
              <w:ind w:left="1780"/>
              <w:spacing w:after="0" w:line="109" w:lineRule="exact"/>
              <w:rPr>
                <w:sz w:val="20"/>
                <w:szCs w:val="20"/>
                <w:color w:val="auto"/>
              </w:rPr>
            </w:pPr>
            <w:r>
              <w:rPr>
                <w:rFonts w:ascii="Times New Roman" w:cs="Times New Roman" w:eastAsia="Times New Roman" w:hAnsi="Times New Roman"/>
                <w:sz w:val="11"/>
                <w:szCs w:val="11"/>
                <w:color w:val="auto"/>
              </w:rPr>
              <w:t>(4)(5)</w:t>
            </w:r>
          </w:p>
        </w:tc>
        <w:tc>
          <w:tcPr>
            <w:tcW w:w="11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rPr>
              <w:t>October 9,</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80" w:type="dxa"/>
            <w:vAlign w:val="bottom"/>
          </w:tcPr>
          <w:p>
            <w:pPr>
              <w:ind w:left="540"/>
              <w:spacing w:after="0" w:line="81" w:lineRule="exact"/>
              <w:rPr>
                <w:sz w:val="20"/>
                <w:szCs w:val="20"/>
                <w:color w:val="auto"/>
              </w:rPr>
            </w:pPr>
            <w:r>
              <w:rPr>
                <w:rFonts w:ascii="Times New Roman" w:cs="Times New Roman" w:eastAsia="Times New Roman" w:hAnsi="Times New Roman"/>
                <w:sz w:val="9"/>
                <w:szCs w:val="9"/>
                <w:color w:val="auto"/>
              </w:rPr>
              <w:t>due October 16, 2032</w:t>
            </w:r>
          </w:p>
        </w:tc>
        <w:tc>
          <w:tcPr>
            <w:tcW w:w="1120" w:type="dxa"/>
            <w:vAlign w:val="bottom"/>
          </w:tcPr>
          <w:p>
            <w:pPr>
              <w:ind w:left="40"/>
              <w:spacing w:after="0" w:line="81" w:lineRule="exact"/>
              <w:rPr>
                <w:sz w:val="20"/>
                <w:szCs w:val="20"/>
                <w:color w:val="auto"/>
              </w:rPr>
            </w:pPr>
            <w:r>
              <w:rPr>
                <w:rFonts w:ascii="Times New Roman" w:cs="Times New Roman" w:eastAsia="Times New Roman" w:hAnsi="Times New Roman"/>
                <w:sz w:val="9"/>
                <w:szCs w:val="9"/>
                <w:color w:val="auto"/>
              </w:rPr>
              <w:t>Covington,</w:t>
            </w:r>
          </w:p>
        </w:tc>
        <w:tc>
          <w:tcPr>
            <w:tcW w:w="6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(6)(23)</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KY 41011</w:t>
            </w: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2,992,511</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3,018,750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Total Industrials</w:t>
            </w:r>
          </w:p>
        </w:tc>
        <w:tc>
          <w:tcPr>
            <w:tcW w:w="1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13.7%</w:t>
            </w:r>
          </w:p>
        </w:tc>
        <w:tc>
          <w:tcPr>
            <w:tcW w:w="0" w:type="dxa"/>
            <w:vAlign w:val="bottom"/>
          </w:tcPr>
          <w:p>
            <w:pPr>
              <w:spacing w:after="0" w:line="20" w:lineRule="exact"/>
              <w:rPr>
                <w:sz w:val="1"/>
                <w:szCs w:val="1"/>
                <w:color w:val="auto"/>
              </w:rPr>
            </w:pPr>
          </w:p>
        </w:tc>
      </w:tr>
      <w:tr>
        <w:trPr>
          <w:trHeight w:val="263"/>
        </w:trPr>
        <w:tc>
          <w:tcPr>
            <w:tcW w:w="2080" w:type="dxa"/>
            <w:vAlign w:val="bottom"/>
            <w:vMerge w:val="continue"/>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19,826,563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19,851,960</w:t>
            </w:r>
          </w:p>
        </w:tc>
        <w:tc>
          <w:tcPr>
            <w:tcW w:w="6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Materials</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80" w:type="dxa"/>
            <w:vAlign w:val="bottom"/>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Veritiv Operating</w:t>
            </w: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first lien senior secured</w:t>
            </w:r>
          </w:p>
        </w:tc>
        <w:tc>
          <w:tcPr>
            <w:tcW w:w="112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8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Abernathy Rd.</w:t>
            </w: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7.67% (SOFR +</w:t>
            </w:r>
          </w:p>
        </w:tc>
        <w:tc>
          <w:tcPr>
            <w:tcW w:w="11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NE Bldg. 400,</w:t>
            </w: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80" w:type="dxa"/>
            <w:vAlign w:val="bottom"/>
            <w:shd w:val="clear" w:color="auto" w:fill="CCEEFF"/>
          </w:tcPr>
          <w:p>
            <w:pPr>
              <w:ind w:left="540"/>
              <w:spacing w:after="0" w:line="129" w:lineRule="exact"/>
              <w:rPr>
                <w:sz w:val="20"/>
                <w:szCs w:val="20"/>
                <w:color w:val="auto"/>
              </w:rPr>
            </w:pPr>
            <w:r>
              <w:rPr>
                <w:rFonts w:ascii="Times New Roman" w:cs="Times New Roman" w:eastAsia="Times New Roman" w:hAnsi="Times New Roman"/>
                <w:sz w:val="14"/>
                <w:szCs w:val="14"/>
                <w:color w:val="auto"/>
              </w:rPr>
              <w:t>4.00%), (0.75% floor)</w:t>
            </w:r>
          </w:p>
        </w:tc>
        <w:tc>
          <w:tcPr>
            <w:tcW w:w="1120" w:type="dxa"/>
            <w:vAlign w:val="bottom"/>
            <w:shd w:val="clear" w:color="auto" w:fill="CCEEFF"/>
          </w:tcPr>
          <w:p>
            <w:pPr>
              <w:ind w:left="40"/>
              <w:spacing w:after="0" w:line="129" w:lineRule="exact"/>
              <w:rPr>
                <w:sz w:val="20"/>
                <w:szCs w:val="20"/>
                <w:color w:val="auto"/>
              </w:rPr>
            </w:pPr>
            <w:r>
              <w:rPr>
                <w:rFonts w:ascii="Times New Roman" w:cs="Times New Roman" w:eastAsia="Times New Roman" w:hAnsi="Times New Roman"/>
                <w:sz w:val="14"/>
                <w:szCs w:val="14"/>
                <w:color w:val="auto"/>
              </w:rPr>
              <w:t>Ste. 1700</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due November 30,</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Atlanta, GA</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December 6,</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540"/>
              <w:spacing w:after="0" w:line="216" w:lineRule="exact"/>
              <w:rPr>
                <w:sz w:val="20"/>
                <w:szCs w:val="20"/>
                <w:color w:val="auto"/>
              </w:rPr>
            </w:pPr>
            <w:r>
              <w:rPr>
                <w:rFonts w:ascii="Times New Roman" w:cs="Times New Roman" w:eastAsia="Times New Roman" w:hAnsi="Times New Roman"/>
                <w:sz w:val="25"/>
                <w:szCs w:val="25"/>
                <w:color w:val="auto"/>
                <w:vertAlign w:val="subscript"/>
              </w:rPr>
              <w:t>2030</w:t>
            </w:r>
            <w:r>
              <w:rPr>
                <w:rFonts w:ascii="Times New Roman" w:cs="Times New Roman" w:eastAsia="Times New Roman" w:hAnsi="Times New Roman"/>
                <w:sz w:val="10"/>
                <w:szCs w:val="10"/>
                <w:color w:val="auto"/>
              </w:rPr>
              <w:t>(4)(5)(6)(14)(16)</w:t>
            </w:r>
          </w:p>
        </w:tc>
        <w:tc>
          <w:tcPr>
            <w:tcW w:w="1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30328</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8,924,736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8,920,823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8,914,562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Total Materials</w:t>
            </w: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6.1%</w:t>
            </w:r>
          </w:p>
        </w:tc>
        <w:tc>
          <w:tcPr>
            <w:tcW w:w="0" w:type="dxa"/>
            <w:vAlign w:val="bottom"/>
          </w:tcPr>
          <w:p>
            <w:pPr>
              <w:spacing w:after="0" w:line="20" w:lineRule="exact"/>
              <w:rPr>
                <w:sz w:val="1"/>
                <w:szCs w:val="1"/>
                <w:color w:val="auto"/>
              </w:rPr>
            </w:pPr>
          </w:p>
        </w:tc>
      </w:tr>
      <w:tr>
        <w:trPr>
          <w:trHeight w:val="258"/>
        </w:trPr>
        <w:tc>
          <w:tcPr>
            <w:tcW w:w="2080" w:type="dxa"/>
            <w:vAlign w:val="bottom"/>
            <w:vMerge w:val="continue"/>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8,920,823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8,914,562</w:t>
            </w:r>
          </w:p>
        </w:tc>
        <w:tc>
          <w:tcPr>
            <w:tcW w:w="6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8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4"/>
          <w:szCs w:val="14"/>
          <w:b w:val="1"/>
          <w:bCs w:val="1"/>
          <w:color w:val="auto"/>
        </w:rPr>
        <w:t>Software</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Dodge Construction</w:t>
      </w:r>
    </w:p>
    <w:p>
      <w:pPr>
        <w:ind w:left="1000"/>
        <w:spacing w:after="0" w:line="227" w:lineRule="auto"/>
        <w:rPr>
          <w:sz w:val="20"/>
          <w:szCs w:val="20"/>
          <w:color w:val="auto"/>
        </w:rPr>
      </w:pPr>
      <w:r>
        <w:rPr>
          <w:rFonts w:ascii="Times New Roman" w:cs="Times New Roman" w:eastAsia="Times New Roman" w:hAnsi="Times New Roman"/>
          <w:sz w:val="14"/>
          <w:szCs w:val="14"/>
          <w:b w:val="1"/>
          <w:bCs w:val="1"/>
          <w:color w:val="auto"/>
        </w:rPr>
        <w:t>Network LLC (f/k/a</w:t>
      </w:r>
    </w:p>
    <w:p>
      <w:pPr>
        <w:ind w:left="1000"/>
        <w:spacing w:after="0" w:line="222" w:lineRule="auto"/>
        <w:rPr>
          <w:sz w:val="20"/>
          <w:szCs w:val="20"/>
          <w:color w:val="auto"/>
        </w:rPr>
      </w:pPr>
      <w:r>
        <w:rPr>
          <w:rFonts w:ascii="Times New Roman" w:cs="Times New Roman" w:eastAsia="Times New Roman" w:hAnsi="Times New Roman"/>
          <w:sz w:val="14"/>
          <w:szCs w:val="14"/>
          <w:b w:val="1"/>
          <w:bCs w:val="1"/>
          <w:color w:val="auto"/>
        </w:rPr>
        <w:t>Dodge Data &amp;</w:t>
      </w:r>
    </w:p>
    <w:p>
      <w:pPr>
        <w:ind w:left="1000"/>
        <w:spacing w:after="0"/>
        <w:rPr>
          <w:sz w:val="20"/>
          <w:szCs w:val="20"/>
          <w:color w:val="auto"/>
        </w:rPr>
      </w:pPr>
      <w:r>
        <w:rPr>
          <w:rFonts w:ascii="Times New Roman" w:cs="Times New Roman" w:eastAsia="Times New Roman" w:hAnsi="Times New Roman"/>
          <w:sz w:val="14"/>
          <w:szCs w:val="14"/>
          <w:b w:val="1"/>
          <w:bCs w:val="1"/>
          <w:color w:val="auto"/>
        </w:rPr>
        <w:t>Analytics, LLC)</w:t>
      </w:r>
    </w:p>
    <w:p>
      <w:pPr>
        <w:spacing w:after="0" w:line="12" w:lineRule="exact"/>
        <w:rPr>
          <w:sz w:val="20"/>
          <w:szCs w:val="20"/>
          <w:color w:val="auto"/>
        </w:rPr>
      </w:pPr>
    </w:p>
    <w:p>
      <w:pPr>
        <w:ind w:left="1000" w:hanging="179"/>
        <w:spacing w:after="0" w:line="229" w:lineRule="auto"/>
        <w:rPr>
          <w:sz w:val="20"/>
          <w:szCs w:val="20"/>
          <w:color w:val="auto"/>
        </w:rPr>
      </w:pPr>
      <w:r>
        <w:rPr>
          <w:rFonts w:ascii="Times New Roman" w:cs="Times New Roman" w:eastAsia="Times New Roman" w:hAnsi="Times New Roman"/>
          <w:sz w:val="14"/>
          <w:szCs w:val="14"/>
          <w:color w:val="auto"/>
        </w:rPr>
        <w:t>first lien first out senior secured notes, 10.25% (SOFR + 6.25%), (0.50% floor) due January 31,</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2029</w:t>
      </w:r>
      <w:r>
        <w:rPr>
          <w:rFonts w:ascii="Times New Roman" w:cs="Times New Roman" w:eastAsia="Times New Roman" w:hAnsi="Times New Roman"/>
          <w:sz w:val="10"/>
          <w:szCs w:val="10"/>
          <w:color w:val="auto"/>
        </w:rPr>
        <w:t>(4)(5)(6)(14)(16)</w:t>
      </w:r>
    </w:p>
    <w:p>
      <w:pPr>
        <w:spacing w:after="0" w:line="1" w:lineRule="exact"/>
        <w:rPr>
          <w:sz w:val="20"/>
          <w:szCs w:val="20"/>
          <w:color w:val="auto"/>
        </w:rPr>
      </w:pPr>
    </w:p>
    <w:p>
      <w:pPr>
        <w:ind w:left="1000" w:hanging="179"/>
        <w:spacing w:after="0" w:line="229" w:lineRule="auto"/>
        <w:rPr>
          <w:sz w:val="20"/>
          <w:szCs w:val="20"/>
          <w:color w:val="auto"/>
        </w:rPr>
      </w:pPr>
      <w:r>
        <w:rPr>
          <w:rFonts w:ascii="Times New Roman" w:cs="Times New Roman" w:eastAsia="Times New Roman" w:hAnsi="Times New Roman"/>
          <w:sz w:val="14"/>
          <w:szCs w:val="14"/>
          <w:color w:val="auto"/>
        </w:rPr>
        <w:t>first lien second out senior secured notes, 8.75% (SOFR + 4.75%), (0.50% floor) due February 28,</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2029</w:t>
      </w:r>
      <w:r>
        <w:rPr>
          <w:rFonts w:ascii="Times New Roman" w:cs="Times New Roman" w:eastAsia="Times New Roman" w:hAnsi="Times New Roman"/>
          <w:sz w:val="10"/>
          <w:szCs w:val="10"/>
          <w:color w:val="auto"/>
        </w:rPr>
        <w:t>(4)(5)(6)(14)(16)</w:t>
      </w:r>
    </w:p>
    <w:p>
      <w:pPr>
        <w:spacing w:after="0" w:line="1" w:lineRule="exact"/>
        <w:rPr>
          <w:sz w:val="20"/>
          <w:szCs w:val="20"/>
          <w:color w:val="auto"/>
        </w:rPr>
      </w:pPr>
    </w:p>
    <w:p>
      <w:pPr>
        <w:ind w:left="1000" w:right="80" w:hanging="179"/>
        <w:spacing w:after="0" w:line="229" w:lineRule="auto"/>
        <w:rPr>
          <w:sz w:val="20"/>
          <w:szCs w:val="20"/>
          <w:color w:val="auto"/>
        </w:rPr>
      </w:pPr>
      <w:r>
        <w:rPr>
          <w:rFonts w:ascii="Times New Roman" w:cs="Times New Roman" w:eastAsia="Times New Roman" w:hAnsi="Times New Roman"/>
          <w:sz w:val="14"/>
          <w:szCs w:val="14"/>
          <w:color w:val="auto"/>
        </w:rPr>
        <w:t>second lien senior secured notes, 12.07% (SOFR + 8.25%) PIK, (0.50% floor) due March 31,</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2029</w:t>
      </w:r>
      <w:r>
        <w:rPr>
          <w:rFonts w:ascii="Times New Roman" w:cs="Times New Roman" w:eastAsia="Times New Roman" w:hAnsi="Times New Roman"/>
          <w:sz w:val="10"/>
          <w:szCs w:val="10"/>
          <w:color w:val="auto"/>
        </w:rPr>
        <w:t>(3)(4)(5)(14)(16)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0" w:hanging="253"/>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American</w:t>
      </w:r>
    </w:p>
    <w:p>
      <w:pPr>
        <w:spacing w:after="0" w:line="3" w:lineRule="exact"/>
        <w:rPr>
          <w:rFonts w:ascii="Times New Roman" w:cs="Times New Roman" w:eastAsia="Times New Roman" w:hAnsi="Times New Roman"/>
          <w:sz w:val="14"/>
          <w:szCs w:val="14"/>
          <w:color w:val="auto"/>
        </w:rPr>
      </w:pPr>
    </w:p>
    <w:p>
      <w:pPr>
        <w:ind w:right="571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Metro Blvd. Suite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-706120</wp:posOffset>
            </wp:positionV>
            <wp:extent cx="5143500" cy="403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143500" cy="403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3"/>
        </w:trPr>
        <w:tc>
          <w:tcPr>
            <w:tcW w:w="10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Hamilton, NJ</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108"/>
              <w:spacing w:after="0" w:line="133" w:lineRule="exact"/>
              <w:rPr>
                <w:sz w:val="20"/>
                <w:szCs w:val="20"/>
                <w:color w:val="auto"/>
              </w:rPr>
            </w:pPr>
            <w:r>
              <w:rPr>
                <w:rFonts w:ascii="Times New Roman" w:cs="Times New Roman" w:eastAsia="Times New Roman" w:hAnsi="Times New Roman"/>
                <w:sz w:val="14"/>
                <w:szCs w:val="14"/>
                <w:color w:val="auto"/>
              </w:rPr>
              <w:t>November 14,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2,175,824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2,150,991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2,181,264</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08619</w:t>
            </w:r>
          </w:p>
        </w:tc>
        <w:tc>
          <w:tcPr>
            <w:tcW w:w="640" w:type="dxa"/>
            <w:vAlign w:val="bottom"/>
            <w:vMerge w:val="continue"/>
          </w:tcPr>
          <w:p>
            <w:pPr>
              <w:spacing w:after="0"/>
              <w:rPr>
                <w:sz w:val="16"/>
                <w:szCs w:val="16"/>
                <w:color w:val="auto"/>
              </w:rPr>
            </w:pP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5"/>
        </w:trPr>
        <w:tc>
          <w:tcPr>
            <w:tcW w:w="1040" w:type="dxa"/>
            <w:vAlign w:val="bottom"/>
          </w:tcPr>
          <w:p>
            <w:pPr>
              <w:spacing w:after="0"/>
              <w:rPr>
                <w:sz w:val="24"/>
                <w:szCs w:val="24"/>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November 14,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3,017,281</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2,538,618</w:t>
            </w:r>
          </w:p>
        </w:tc>
        <w:tc>
          <w:tcPr>
            <w:tcW w:w="1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2,413,825</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5"/>
        </w:trPr>
        <w:tc>
          <w:tcPr>
            <w:tcW w:w="1040" w:type="dxa"/>
            <w:vAlign w:val="bottom"/>
          </w:tcPr>
          <w:p>
            <w:pPr>
              <w:spacing w:after="0"/>
              <w:rPr>
                <w:sz w:val="24"/>
                <w:szCs w:val="24"/>
                <w:color w:val="auto"/>
              </w:rPr>
            </w:pP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November 14,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17,015,123</w:t>
            </w:r>
          </w:p>
        </w:tc>
        <w:tc>
          <w:tcPr>
            <w:tcW w:w="1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9,211,125</w:t>
            </w:r>
          </w:p>
        </w:tc>
        <w:tc>
          <w:tcPr>
            <w:tcW w:w="1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6,806,049</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1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-1030605</wp:posOffset>
            </wp:positionV>
            <wp:extent cx="5143500" cy="523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143500" cy="52324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15240</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20"/>
            <w:col w:w="6439"/>
          </w:cols>
          <w:pgMar w:left="1440" w:top="270" w:right="1440" w:bottom="1440" w:gutter="0" w:footer="0" w:header="0"/>
          <w:type w:val="continuous"/>
        </w:sectPr>
      </w:pP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Forta, LLC (f/k/a</w:t>
      </w:r>
    </w:p>
    <w:p>
      <w:pPr>
        <w:ind w:left="1000"/>
        <w:spacing w:after="0" w:line="229" w:lineRule="auto"/>
        <w:rPr>
          <w:sz w:val="20"/>
          <w:szCs w:val="20"/>
          <w:color w:val="auto"/>
        </w:rPr>
      </w:pPr>
      <w:r>
        <w:rPr>
          <w:rFonts w:ascii="Times New Roman" w:cs="Times New Roman" w:eastAsia="Times New Roman" w:hAnsi="Times New Roman"/>
          <w:sz w:val="14"/>
          <w:szCs w:val="14"/>
          <w:b w:val="1"/>
          <w:bCs w:val="1"/>
          <w:color w:val="auto"/>
        </w:rPr>
        <w:t>Help/Systems Holdings,</w:t>
      </w:r>
    </w:p>
    <w:p>
      <w:pPr>
        <w:ind w:left="1000"/>
        <w:spacing w:after="0"/>
        <w:rPr>
          <w:sz w:val="20"/>
          <w:szCs w:val="20"/>
          <w:color w:val="auto"/>
        </w:rPr>
      </w:pPr>
      <w:r>
        <w:rPr>
          <w:rFonts w:ascii="Times New Roman" w:cs="Times New Roman" w:eastAsia="Times New Roman" w:hAnsi="Times New Roman"/>
          <w:sz w:val="14"/>
          <w:szCs w:val="14"/>
          <w:b w:val="1"/>
          <w:bCs w:val="1"/>
          <w:color w:val="auto"/>
        </w:rPr>
        <w:t>Inc.)</w:t>
      </w:r>
    </w:p>
    <w:p>
      <w:pPr>
        <w:spacing w:after="0" w:line="12" w:lineRule="exact"/>
        <w:rPr>
          <w:sz w:val="20"/>
          <w:szCs w:val="20"/>
          <w:color w:val="auto"/>
        </w:rPr>
      </w:pPr>
    </w:p>
    <w:p>
      <w:pPr>
        <w:ind w:left="1000" w:hanging="179"/>
        <w:spacing w:after="0" w:line="217" w:lineRule="auto"/>
        <w:rPr>
          <w:sz w:val="20"/>
          <w:szCs w:val="20"/>
          <w:color w:val="auto"/>
        </w:rPr>
      </w:pPr>
      <w:r>
        <w:rPr>
          <w:rFonts w:ascii="Times New Roman" w:cs="Times New Roman" w:eastAsia="Times New Roman" w:hAnsi="Times New Roman"/>
          <w:sz w:val="14"/>
          <w:szCs w:val="14"/>
          <w:color w:val="auto"/>
        </w:rPr>
        <w:t>first lien senior secured notes, 9.97% (SOFR + 6.00%), (2.00% floor) due May 21, 2029</w:t>
      </w:r>
      <w:r>
        <w:rPr>
          <w:rFonts w:ascii="Times New Roman" w:cs="Times New Roman" w:eastAsia="Times New Roman" w:hAnsi="Times New Roman"/>
          <w:sz w:val="21"/>
          <w:szCs w:val="21"/>
          <w:color w:val="auto"/>
          <w:vertAlign w:val="superscript"/>
        </w:rPr>
        <w:t>(4)(5)(14)</w:t>
      </w:r>
    </w:p>
    <w:p>
      <w:pPr>
        <w:ind w:left="1000"/>
        <w:spacing w:after="0"/>
        <w:rPr>
          <w:sz w:val="20"/>
          <w:szCs w:val="20"/>
          <w:color w:val="auto"/>
        </w:rPr>
      </w:pPr>
      <w:r>
        <w:rPr>
          <w:rFonts w:ascii="Times New Roman" w:cs="Times New Roman" w:eastAsia="Times New Roman" w:hAnsi="Times New Roman"/>
          <w:sz w:val="11"/>
          <w:szCs w:val="11"/>
          <w:color w:val="auto"/>
        </w:rPr>
        <w:t>(16)</w:t>
      </w:r>
    </w:p>
    <w:p>
      <w:pPr>
        <w:spacing w:after="0" w:line="55" w:lineRule="exact"/>
        <w:rPr>
          <w:sz w:val="20"/>
          <w:szCs w:val="20"/>
          <w:color w:val="auto"/>
        </w:rPr>
      </w:pPr>
    </w:p>
    <w:p>
      <w:pPr>
        <w:ind w:left="1000" w:right="160" w:hanging="179"/>
        <w:spacing w:after="0" w:line="233" w:lineRule="auto"/>
        <w:rPr>
          <w:sz w:val="20"/>
          <w:szCs w:val="20"/>
          <w:color w:val="auto"/>
        </w:rPr>
      </w:pPr>
      <w:r>
        <w:rPr>
          <w:rFonts w:ascii="Times New Roman" w:cs="Times New Roman" w:eastAsia="Times New Roman" w:hAnsi="Times New Roman"/>
          <w:sz w:val="14"/>
          <w:szCs w:val="14"/>
          <w:color w:val="auto"/>
        </w:rPr>
        <w:t>second lien senior secured notes, 3.97% (SOFR,</w:t>
      </w:r>
    </w:p>
    <w:p>
      <w:pPr>
        <w:jc w:val="both"/>
        <w:ind w:left="1000" w:right="20"/>
        <w:spacing w:after="0" w:line="204" w:lineRule="auto"/>
        <w:rPr>
          <w:sz w:val="20"/>
          <w:szCs w:val="20"/>
          <w:color w:val="auto"/>
        </w:rPr>
      </w:pPr>
      <w:r>
        <w:rPr>
          <w:rFonts w:ascii="Times New Roman" w:cs="Times New Roman" w:eastAsia="Times New Roman" w:hAnsi="Times New Roman"/>
          <w:sz w:val="14"/>
          <w:szCs w:val="14"/>
          <w:color w:val="auto"/>
        </w:rPr>
        <w:t>2.00% floor) cash, 9.00% PIK due May 21, 2029</w:t>
      </w:r>
      <w:r>
        <w:rPr>
          <w:rFonts w:ascii="Times New Roman" w:cs="Times New Roman" w:eastAsia="Times New Roman" w:hAnsi="Times New Roman"/>
          <w:sz w:val="21"/>
          <w:szCs w:val="21"/>
          <w:color w:val="auto"/>
          <w:vertAlign w:val="superscript"/>
        </w:rPr>
        <w:t>(3)</w:t>
      </w:r>
    </w:p>
    <w:p>
      <w:pPr>
        <w:jc w:val="center"/>
        <w:ind w:left="120"/>
        <w:spacing w:after="0"/>
        <w:rPr>
          <w:sz w:val="20"/>
          <w:szCs w:val="20"/>
          <w:color w:val="auto"/>
        </w:rPr>
      </w:pPr>
      <w:r>
        <w:rPr>
          <w:rFonts w:ascii="Times New Roman" w:cs="Times New Roman" w:eastAsia="Times New Roman" w:hAnsi="Times New Roman"/>
          <w:sz w:val="11"/>
          <w:szCs w:val="11"/>
          <w:color w:val="auto"/>
        </w:rPr>
        <w:t>(4)(5)(14)(16)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6455 City</w:t>
            </w: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 Parkway</w:t>
            </w:r>
          </w:p>
        </w:tc>
        <w:tc>
          <w:tcPr>
            <w:tcW w:w="620" w:type="dxa"/>
            <w:vAlign w:val="bottom"/>
          </w:tcPr>
          <w:p>
            <w:pPr>
              <w:spacing w:after="0"/>
              <w:rPr>
                <w:sz w:val="12"/>
                <w:szCs w:val="12"/>
                <w:color w:val="auto"/>
              </w:rPr>
            </w:pPr>
          </w:p>
        </w:tc>
        <w:tc>
          <w:tcPr>
            <w:tcW w:w="12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November 21,</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Eden Prairie,</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continue"/>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3,243,343</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3,080,091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2,943,334</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MN 55344</w:t>
            </w:r>
          </w:p>
        </w:tc>
        <w:tc>
          <w:tcPr>
            <w:tcW w:w="620" w:type="dxa"/>
            <w:vAlign w:val="bottom"/>
            <w:vMerge w:val="continue"/>
          </w:tcPr>
          <w:p>
            <w:pPr>
              <w:spacing w:after="0"/>
              <w:rPr>
                <w:sz w:val="16"/>
                <w:szCs w:val="16"/>
                <w:color w:val="auto"/>
              </w:rPr>
            </w:pPr>
          </w:p>
        </w:tc>
        <w:tc>
          <w:tcPr>
            <w:tcW w:w="12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1060" w:type="dxa"/>
            <w:vAlign w:val="bottom"/>
          </w:tcPr>
          <w:p>
            <w:pPr>
              <w:spacing w:after="0"/>
              <w:rPr>
                <w:sz w:val="24"/>
                <w:szCs w:val="24"/>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November 21,</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8,140,000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6,496,312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5,291,000</w:t>
            </w: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-1047115</wp:posOffset>
            </wp:positionV>
            <wp:extent cx="5143500" cy="531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143500" cy="53149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480" w:space="100"/>
            <w:col w:w="643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920" w:type="dxa"/>
            <w:vAlign w:val="bottom"/>
          </w:tcPr>
          <w:p>
            <w:pPr>
              <w:spacing w:after="0"/>
              <w:rPr>
                <w:sz w:val="13"/>
                <w:szCs w:val="13"/>
                <w:color w:val="auto"/>
              </w:rPr>
            </w:pPr>
          </w:p>
        </w:tc>
        <w:tc>
          <w:tcPr>
            <w:tcW w:w="102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10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1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ACQUISITION PRINCIPAL</w:t>
            </w:r>
          </w:p>
        </w:tc>
        <w:tc>
          <w:tcPr>
            <w:tcW w:w="76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w:t>
            </w:r>
          </w:p>
        </w:tc>
        <w:tc>
          <w:tcPr>
            <w:tcW w:w="60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02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8"/>
              </w:rPr>
              <w:t>ADDRESS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8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60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0" w:gutter="0" w:footer="0" w:header="0"/>
        </w:sectPr>
      </w:pPr>
    </w:p>
    <w:p>
      <w:pPr>
        <w:ind w:left="640" w:right="620" w:hanging="179"/>
        <w:spacing w:after="0" w:line="252" w:lineRule="auto"/>
        <w:rPr>
          <w:sz w:val="20"/>
          <w:szCs w:val="20"/>
          <w:color w:val="auto"/>
        </w:rPr>
      </w:pPr>
      <w:r>
        <w:rPr>
          <w:rFonts w:ascii="Times New Roman" w:cs="Times New Roman" w:eastAsia="Times New Roman" w:hAnsi="Times New Roman"/>
          <w:sz w:val="14"/>
          <w:szCs w:val="14"/>
          <w:b w:val="1"/>
          <w:bCs w:val="1"/>
          <w:u w:val="single" w:color="auto"/>
          <w:color w:val="auto"/>
        </w:rPr>
        <w:t>Senior Secured Notes – (continued)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Magenta Buyer, LLC (f/k/a</w:t>
      </w:r>
    </w:p>
    <w:p>
      <w:pPr>
        <w:ind w:left="1000"/>
        <w:spacing w:after="0" w:line="227" w:lineRule="auto"/>
        <w:rPr>
          <w:sz w:val="20"/>
          <w:szCs w:val="20"/>
          <w:color w:val="auto"/>
        </w:rPr>
      </w:pPr>
      <w:r>
        <w:rPr>
          <w:rFonts w:ascii="Times New Roman" w:cs="Times New Roman" w:eastAsia="Times New Roman" w:hAnsi="Times New Roman"/>
          <w:sz w:val="14"/>
          <w:szCs w:val="14"/>
          <w:b w:val="1"/>
          <w:bCs w:val="1"/>
          <w:color w:val="auto"/>
        </w:rPr>
        <w:t>McAfee Enterprise,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LLC)</w:t>
      </w:r>
    </w:p>
    <w:p>
      <w:pPr>
        <w:spacing w:after="0" w:line="12" w:lineRule="exact"/>
        <w:rPr>
          <w:sz w:val="20"/>
          <w:szCs w:val="20"/>
          <w:color w:val="auto"/>
        </w:rPr>
      </w:pPr>
    </w:p>
    <w:p>
      <w:pPr>
        <w:ind w:left="1000" w:right="20" w:hanging="179"/>
        <w:spacing w:after="0" w:line="229" w:lineRule="auto"/>
        <w:rPr>
          <w:sz w:val="20"/>
          <w:szCs w:val="20"/>
          <w:color w:val="auto"/>
        </w:rPr>
      </w:pPr>
      <w:r>
        <w:rPr>
          <w:rFonts w:ascii="Times New Roman" w:cs="Times New Roman" w:eastAsia="Times New Roman" w:hAnsi="Times New Roman"/>
          <w:sz w:val="14"/>
          <w:szCs w:val="14"/>
          <w:color w:val="auto"/>
        </w:rPr>
        <w:t>first lien first out senior secured notes, 10.85% (SOFR + 6.75%), (0.75% floor) due July 27,</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2028</w:t>
      </w:r>
      <w:r>
        <w:rPr>
          <w:rFonts w:ascii="Times New Roman" w:cs="Times New Roman" w:eastAsia="Times New Roman" w:hAnsi="Times New Roman"/>
          <w:sz w:val="10"/>
          <w:szCs w:val="10"/>
          <w:color w:val="auto"/>
        </w:rPr>
        <w:t>(4)(5)(16)</w:t>
      </w:r>
    </w:p>
    <w:p>
      <w:pPr>
        <w:spacing w:after="0" w:line="1" w:lineRule="exact"/>
        <w:rPr>
          <w:sz w:val="20"/>
          <w:szCs w:val="20"/>
          <w:color w:val="auto"/>
        </w:rPr>
      </w:pPr>
    </w:p>
    <w:p>
      <w:pPr>
        <w:ind w:left="1000" w:right="60" w:hanging="179"/>
        <w:spacing w:after="0" w:line="229" w:lineRule="auto"/>
        <w:rPr>
          <w:sz w:val="20"/>
          <w:szCs w:val="20"/>
          <w:color w:val="auto"/>
        </w:rPr>
      </w:pPr>
      <w:r>
        <w:rPr>
          <w:rFonts w:ascii="Times New Roman" w:cs="Times New Roman" w:eastAsia="Times New Roman" w:hAnsi="Times New Roman"/>
          <w:sz w:val="14"/>
          <w:szCs w:val="14"/>
          <w:color w:val="auto"/>
        </w:rPr>
        <w:t>first lien second out senior secured notes, 11.10% (SOFR + 7.00%) (0.75% floor) due July 27,</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2028</w:t>
      </w:r>
      <w:r>
        <w:rPr>
          <w:rFonts w:ascii="Times New Roman" w:cs="Times New Roman" w:eastAsia="Times New Roman" w:hAnsi="Times New Roman"/>
          <w:sz w:val="10"/>
          <w:szCs w:val="10"/>
          <w:color w:val="auto"/>
        </w:rPr>
        <w:t>(4)(5)(16)</w:t>
      </w:r>
    </w:p>
    <w:p>
      <w:pPr>
        <w:spacing w:after="0" w:line="1" w:lineRule="exact"/>
        <w:rPr>
          <w:sz w:val="20"/>
          <w:szCs w:val="20"/>
          <w:color w:val="auto"/>
        </w:rPr>
      </w:pPr>
    </w:p>
    <w:p>
      <w:pPr>
        <w:ind w:left="1000" w:right="60" w:hanging="179"/>
        <w:spacing w:after="0" w:line="229" w:lineRule="auto"/>
        <w:rPr>
          <w:sz w:val="20"/>
          <w:szCs w:val="20"/>
          <w:color w:val="auto"/>
        </w:rPr>
      </w:pPr>
      <w:r>
        <w:rPr>
          <w:rFonts w:ascii="Times New Roman" w:cs="Times New Roman" w:eastAsia="Times New Roman" w:hAnsi="Times New Roman"/>
          <w:sz w:val="14"/>
          <w:szCs w:val="14"/>
          <w:color w:val="auto"/>
        </w:rPr>
        <w:t>first lien third out senior secured notes, 10.35% (SOFR + 6.25%) (0.75% floor) due July 27,</w:t>
      </w:r>
    </w:p>
    <w:p>
      <w:pPr>
        <w:ind w:left="1000"/>
        <w:spacing w:after="0" w:line="181" w:lineRule="auto"/>
        <w:rPr>
          <w:sz w:val="20"/>
          <w:szCs w:val="20"/>
          <w:color w:val="auto"/>
        </w:rPr>
      </w:pPr>
      <w:r>
        <w:rPr>
          <w:rFonts w:ascii="Times New Roman" w:cs="Times New Roman" w:eastAsia="Times New Roman" w:hAnsi="Times New Roman"/>
          <w:sz w:val="24"/>
          <w:szCs w:val="24"/>
          <w:color w:val="auto"/>
          <w:vertAlign w:val="subscript"/>
        </w:rPr>
        <w:t>2028</w:t>
      </w:r>
      <w:r>
        <w:rPr>
          <w:rFonts w:ascii="Times New Roman" w:cs="Times New Roman" w:eastAsia="Times New Roman" w:hAnsi="Times New Roman"/>
          <w:sz w:val="10"/>
          <w:szCs w:val="10"/>
          <w:color w:val="auto"/>
        </w:rPr>
        <w:t>(4)(5)(16)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5000</w:t>
            </w: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Headquarters</w:t>
            </w:r>
          </w:p>
        </w:tc>
        <w:tc>
          <w:tcPr>
            <w:tcW w:w="680" w:type="dxa"/>
            <w:vAlign w:val="bottom"/>
          </w:tcPr>
          <w:p>
            <w:pPr>
              <w:spacing w:after="0"/>
              <w:rPr>
                <w:sz w:val="12"/>
                <w:szCs w:val="12"/>
                <w:color w:val="auto"/>
              </w:rPr>
            </w:pPr>
          </w:p>
        </w:tc>
        <w:tc>
          <w:tcPr>
            <w:tcW w:w="98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rPr>
              <w:t>August 14,</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Dr Plano,</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234,573</w:t>
            </w: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215,207</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180,621</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TX 75024</w:t>
            </w:r>
          </w:p>
        </w:tc>
        <w:tc>
          <w:tcPr>
            <w:tcW w:w="680" w:type="dxa"/>
            <w:vAlign w:val="bottom"/>
            <w:vMerge w:val="continue"/>
          </w:tcPr>
          <w:p>
            <w:pPr>
              <w:spacing w:after="0"/>
              <w:rPr>
                <w:sz w:val="16"/>
                <w:szCs w:val="16"/>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5"/>
        </w:trPr>
        <w:tc>
          <w:tcPr>
            <w:tcW w:w="1020" w:type="dxa"/>
            <w:vAlign w:val="bottom"/>
          </w:tcPr>
          <w:p>
            <w:pPr>
              <w:spacing w:after="0"/>
              <w:rPr>
                <w:sz w:val="24"/>
                <w:szCs w:val="24"/>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August 14,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1,310,350</w:t>
            </w:r>
          </w:p>
        </w:tc>
        <w:tc>
          <w:tcPr>
            <w:tcW w:w="20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1,010,783</w:t>
            </w:r>
          </w:p>
        </w:tc>
        <w:tc>
          <w:tcPr>
            <w:tcW w:w="2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576,554</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5"/>
        </w:trPr>
        <w:tc>
          <w:tcPr>
            <w:tcW w:w="1020" w:type="dxa"/>
            <w:vAlign w:val="bottom"/>
          </w:tcPr>
          <w:p>
            <w:pPr>
              <w:spacing w:after="0"/>
              <w:rPr>
                <w:sz w:val="24"/>
                <w:szCs w:val="24"/>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August 14,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10,340,152</w:t>
            </w:r>
          </w:p>
        </w:tc>
        <w:tc>
          <w:tcPr>
            <w:tcW w:w="20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3,767,921</w:t>
            </w:r>
          </w:p>
        </w:tc>
        <w:tc>
          <w:tcPr>
            <w:tcW w:w="2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2,429,936</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8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-1553210</wp:posOffset>
            </wp:positionV>
            <wp:extent cx="5143500" cy="522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5143500" cy="52260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-507365</wp:posOffset>
            </wp:positionV>
            <wp:extent cx="5143500" cy="522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143500" cy="52260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194945</wp:posOffset>
            </wp:positionV>
            <wp:extent cx="514350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-2084705</wp:posOffset>
            </wp:positionV>
            <wp:extent cx="514350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14350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80"/>
            <w:col w:w="6459"/>
          </w:cols>
          <w:pgMar w:left="1440" w:top="270" w:right="1440" w:bottom="0" w:gutter="0" w:footer="0" w:header="0"/>
          <w:type w:val="continuous"/>
        </w:sectPr>
      </w:pP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RSA Security, LLC</w:t>
      </w:r>
    </w:p>
    <w:p>
      <w:pPr>
        <w:spacing w:after="0" w:line="30"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second lien senior secured notes, 11.85% (SOFR + 7.75%), (0.75% floor) due April 27, 2029</w:t>
      </w:r>
      <w:r>
        <w:rPr>
          <w:rFonts w:ascii="Times New Roman" w:cs="Times New Roman" w:eastAsia="Times New Roman" w:hAnsi="Times New Roman"/>
          <w:sz w:val="19"/>
          <w:szCs w:val="19"/>
          <w:color w:val="auto"/>
          <w:vertAlign w:val="superscript"/>
        </w:rPr>
        <w:t>(4)(5)</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(16)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176</w:t>
            </w:r>
          </w:p>
        </w:tc>
        <w:tc>
          <w:tcPr>
            <w:tcW w:w="7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Middlesex</w:t>
            </w:r>
          </w:p>
        </w:tc>
        <w:tc>
          <w:tcPr>
            <w:tcW w:w="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Turnpike</w:t>
            </w:r>
          </w:p>
        </w:tc>
        <w:tc>
          <w:tcPr>
            <w:tcW w:w="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Bedford,</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April 16, 2021   15,000,000</w:t>
            </w: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14,859,002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2,734,500</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MA 01730</w:t>
            </w:r>
          </w:p>
        </w:tc>
        <w:tc>
          <w:tcPr>
            <w:tcW w:w="7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14605</wp:posOffset>
            </wp:positionV>
            <wp:extent cx="514350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00"/>
            <w:col w:w="6459"/>
          </w:cols>
          <w:pgMar w:left="1440" w:top="270" w:right="1440" w:bottom="0" w:gutter="0" w:footer="0" w:header="0"/>
          <w:type w:val="continuous"/>
        </w:sectPr>
      </w:pP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Smartronix, LLC</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60" w:type="dxa"/>
            <w:vAlign w:val="bottom"/>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 lien senior secured</w:t>
            </w:r>
          </w:p>
        </w:tc>
        <w:tc>
          <w:tcPr>
            <w:tcW w:w="10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44150</w:t>
            </w:r>
          </w:p>
        </w:tc>
        <w:tc>
          <w:tcPr>
            <w:tcW w:w="7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60" w:type="dxa"/>
            <w:vAlign w:val="bottom"/>
            <w:vMerge w:val="restart"/>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8.22% (SOFR +</w:t>
            </w:r>
          </w:p>
        </w:tc>
        <w:tc>
          <w:tcPr>
            <w:tcW w:w="102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shd w:val="clear" w:color="auto" w:fill="CCEEFF"/>
          </w:tcPr>
          <w:p>
            <w:pPr>
              <w:spacing w:after="0"/>
              <w:rPr>
                <w:sz w:val="8"/>
                <w:szCs w:val="8"/>
                <w:color w:val="auto"/>
              </w:rPr>
            </w:pPr>
          </w:p>
        </w:tc>
        <w:tc>
          <w:tcPr>
            <w:tcW w:w="1020" w:type="dxa"/>
            <w:vAlign w:val="bottom"/>
            <w:vMerge w:val="restart"/>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Smartronix</w:t>
            </w:r>
          </w:p>
        </w:tc>
        <w:tc>
          <w:tcPr>
            <w:tcW w:w="7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6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4.50%), (0.75% floor)</w:t>
            </w:r>
          </w:p>
        </w:tc>
        <w:tc>
          <w:tcPr>
            <w:tcW w:w="102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60" w:type="dxa"/>
            <w:vAlign w:val="bottom"/>
            <w:vMerge w:val="continue"/>
            <w:shd w:val="clear" w:color="auto" w:fill="CCEEFF"/>
          </w:tcPr>
          <w:p>
            <w:pPr>
              <w:spacing w:after="0"/>
              <w:rPr>
                <w:sz w:val="9"/>
                <w:szCs w:val="9"/>
                <w:color w:val="auto"/>
              </w:rPr>
            </w:pPr>
          </w:p>
        </w:tc>
        <w:tc>
          <w:tcPr>
            <w:tcW w:w="10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Way</w:t>
            </w:r>
          </w:p>
        </w:tc>
        <w:tc>
          <w:tcPr>
            <w:tcW w:w="7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shd w:val="clear" w:color="auto" w:fill="CCEEFF"/>
          </w:tcPr>
          <w:p>
            <w:pPr>
              <w:ind w:left="1760"/>
              <w:spacing w:after="0" w:line="109" w:lineRule="exact"/>
              <w:rPr>
                <w:sz w:val="20"/>
                <w:szCs w:val="20"/>
                <w:color w:val="auto"/>
              </w:rPr>
            </w:pPr>
            <w:r>
              <w:rPr>
                <w:rFonts w:ascii="Times New Roman" w:cs="Times New Roman" w:eastAsia="Times New Roman" w:hAnsi="Times New Roman"/>
                <w:sz w:val="11"/>
                <w:szCs w:val="11"/>
                <w:color w:val="auto"/>
              </w:rPr>
              <w:t>(4)(5)</w:t>
            </w:r>
          </w:p>
        </w:tc>
        <w:tc>
          <w:tcPr>
            <w:tcW w:w="1020" w:type="dxa"/>
            <w:vAlign w:val="bottom"/>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February 6,</w:t>
            </w:r>
          </w:p>
        </w:tc>
        <w:tc>
          <w:tcPr>
            <w:tcW w:w="9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60" w:type="dxa"/>
            <w:vAlign w:val="bottom"/>
            <w:shd w:val="clear" w:color="auto" w:fill="CCEEFF"/>
          </w:tcPr>
          <w:p>
            <w:pPr>
              <w:ind w:left="540"/>
              <w:spacing w:after="0" w:line="81" w:lineRule="exact"/>
              <w:rPr>
                <w:sz w:val="20"/>
                <w:szCs w:val="20"/>
                <w:color w:val="auto"/>
              </w:rPr>
            </w:pPr>
            <w:r>
              <w:rPr>
                <w:rFonts w:ascii="Times New Roman" w:cs="Times New Roman" w:eastAsia="Times New Roman" w:hAnsi="Times New Roman"/>
                <w:sz w:val="9"/>
                <w:szCs w:val="9"/>
                <w:color w:val="auto"/>
              </w:rPr>
              <w:t>due February 6, 2032</w:t>
            </w:r>
          </w:p>
        </w:tc>
        <w:tc>
          <w:tcPr>
            <w:tcW w:w="1020" w:type="dxa"/>
            <w:vAlign w:val="bottom"/>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color w:val="auto"/>
              </w:rPr>
              <w:t>Hollywood,</w:t>
            </w:r>
          </w:p>
        </w:tc>
        <w:tc>
          <w:tcPr>
            <w:tcW w:w="7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continue"/>
            <w:shd w:val="clear" w:color="auto" w:fill="CCEEFF"/>
          </w:tcPr>
          <w:p>
            <w:pPr>
              <w:spacing w:after="0"/>
              <w:rPr>
                <w:sz w:val="7"/>
                <w:szCs w:val="7"/>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9,949,937</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9,959,596</w:t>
            </w:r>
          </w:p>
        </w:tc>
        <w:tc>
          <w:tcPr>
            <w:tcW w:w="140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9,850,438</w:t>
            </w: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(6)(14)(23)</w:t>
            </w:r>
          </w:p>
        </w:tc>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MD 20636</w:t>
            </w:r>
          </w:p>
        </w:tc>
        <w:tc>
          <w:tcPr>
            <w:tcW w:w="700" w:type="dxa"/>
            <w:vAlign w:val="bottom"/>
            <w:vMerge w:val="continue"/>
            <w:shd w:val="clear" w:color="auto" w:fill="CCEEFF"/>
          </w:tcPr>
          <w:p>
            <w:pPr>
              <w:spacing w:after="0"/>
              <w:rPr>
                <w:sz w:val="16"/>
                <w:szCs w:val="16"/>
                <w:color w:val="auto"/>
              </w:rPr>
            </w:pPr>
          </w:p>
        </w:tc>
        <w:tc>
          <w:tcPr>
            <w:tcW w:w="11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0" w:gutter="0" w:footer="0" w:header="0"/>
          <w:type w:val="continuous"/>
        </w:sectPr>
      </w:pP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Tungsten Automation</w:t>
      </w:r>
    </w:p>
    <w:p>
      <w:pPr>
        <w:ind w:left="1000"/>
        <w:spacing w:after="0" w:line="229" w:lineRule="auto"/>
        <w:rPr>
          <w:sz w:val="20"/>
          <w:szCs w:val="20"/>
          <w:color w:val="auto"/>
        </w:rPr>
      </w:pPr>
      <w:r>
        <w:rPr>
          <w:rFonts w:ascii="Times New Roman" w:cs="Times New Roman" w:eastAsia="Times New Roman" w:hAnsi="Times New Roman"/>
          <w:sz w:val="14"/>
          <w:szCs w:val="14"/>
          <w:b w:val="1"/>
          <w:bCs w:val="1"/>
          <w:color w:val="auto"/>
        </w:rPr>
        <w:t>Corporation (f/k/a</w:t>
      </w:r>
    </w:p>
    <w:p>
      <w:pPr>
        <w:ind w:left="1000"/>
        <w:spacing w:after="0"/>
        <w:rPr>
          <w:sz w:val="20"/>
          <w:szCs w:val="20"/>
          <w:color w:val="auto"/>
        </w:rPr>
      </w:pPr>
      <w:r>
        <w:rPr>
          <w:rFonts w:ascii="Times New Roman" w:cs="Times New Roman" w:eastAsia="Times New Roman" w:hAnsi="Times New Roman"/>
          <w:sz w:val="14"/>
          <w:szCs w:val="14"/>
          <w:b w:val="1"/>
          <w:bCs w:val="1"/>
          <w:color w:val="auto"/>
        </w:rPr>
        <w:t>Kofax, Inc.)</w:t>
      </w:r>
    </w:p>
    <w:p>
      <w:pPr>
        <w:spacing w:after="0" w:line="12"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first lien senior secured notes, 9.19% (SOFR + 5.25%), (0.50% floor) due July 20, 2029</w:t>
      </w:r>
      <w:r>
        <w:rPr>
          <w:rFonts w:ascii="Times New Roman" w:cs="Times New Roman" w:eastAsia="Times New Roman" w:hAnsi="Times New Roman"/>
          <w:sz w:val="19"/>
          <w:szCs w:val="19"/>
          <w:color w:val="auto"/>
          <w:vertAlign w:val="superscript"/>
        </w:rPr>
        <w:t>(4)(5)(6)</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(14)(16)</w:t>
      </w:r>
    </w:p>
    <w:p>
      <w:pPr>
        <w:spacing w:after="0" w:line="1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Total 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5211 Laguna</w:t>
            </w:r>
          </w:p>
        </w:tc>
        <w:tc>
          <w:tcPr>
            <w:tcW w:w="640" w:type="dxa"/>
            <w:vAlign w:val="bottom"/>
          </w:tcPr>
          <w:p>
            <w:pPr>
              <w:spacing w:after="0"/>
              <w:rPr>
                <w:sz w:val="13"/>
                <w:szCs w:val="13"/>
                <w:color w:val="auto"/>
              </w:rPr>
            </w:pPr>
          </w:p>
        </w:tc>
        <w:tc>
          <w:tcPr>
            <w:tcW w:w="11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February 1,</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Canyon Road,</w:t>
            </w:r>
          </w:p>
        </w:tc>
        <w:tc>
          <w:tcPr>
            <w:tcW w:w="6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Irvine, CA</w:t>
            </w: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9,756,431</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9,287,899</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8,341,749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30.1%</w:t>
            </w:r>
          </w:p>
        </w:tc>
        <w:tc>
          <w:tcPr>
            <w:tcW w:w="0" w:type="dxa"/>
            <w:vAlign w:val="bottom"/>
          </w:tcPr>
          <w:p>
            <w:pPr>
              <w:spacing w:after="0" w:line="20" w:lineRule="exact"/>
              <w:rPr>
                <w:sz w:val="1"/>
                <w:szCs w:val="1"/>
                <w:color w:val="auto"/>
              </w:rPr>
            </w:pPr>
          </w:p>
        </w:tc>
      </w:tr>
      <w:tr>
        <w:trPr>
          <w:trHeight w:val="265"/>
        </w:trPr>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62,577,545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43,749,270</w:t>
            </w:r>
          </w:p>
        </w:tc>
        <w:tc>
          <w:tcPr>
            <w:tcW w:w="80" w:type="dxa"/>
            <w:vAlign w:val="bottom"/>
          </w:tcPr>
          <w:p>
            <w:pPr>
              <w:spacing w:after="0"/>
              <w:rPr>
                <w:sz w:val="23"/>
                <w:szCs w:val="23"/>
                <w:color w:val="auto"/>
              </w:rPr>
            </w:pPr>
          </w:p>
        </w:tc>
        <w:tc>
          <w:tcPr>
            <w:tcW w:w="5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-1028065</wp:posOffset>
            </wp:positionV>
            <wp:extent cx="514350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-187960</wp:posOffset>
            </wp:positionV>
            <wp:extent cx="514350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60"/>
            <w:col w:w="6459"/>
          </w:cols>
          <w:pgMar w:left="1440" w:top="270" w:right="1440" w:bottom="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Telecommunication Services</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20" w:type="dxa"/>
            <w:vAlign w:val="bottom"/>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ConvergeOne Holdings,</w:t>
            </w:r>
          </w:p>
        </w:tc>
        <w:tc>
          <w:tcPr>
            <w:tcW w:w="1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Inc.</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first lien senior secured</w:t>
            </w:r>
          </w:p>
        </w:tc>
        <w:tc>
          <w:tcPr>
            <w:tcW w:w="11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10900 Nesbitt</w:t>
            </w:r>
          </w:p>
        </w:tc>
        <w:tc>
          <w:tcPr>
            <w:tcW w:w="6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Avenue</w:t>
            </w: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notes, 9.52% (SOFR +</w:t>
            </w:r>
          </w:p>
        </w:tc>
        <w:tc>
          <w:tcPr>
            <w:tcW w:w="1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South,</w:t>
            </w: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5.75%), (0.00% floor)</w:t>
            </w:r>
          </w:p>
        </w:tc>
        <w:tc>
          <w:tcPr>
            <w:tcW w:w="1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Bloomington,</w:t>
            </w:r>
          </w:p>
        </w:tc>
        <w:tc>
          <w:tcPr>
            <w:tcW w:w="6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June 4, 2024</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934,808</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899,579</w:t>
            </w:r>
          </w:p>
        </w:tc>
        <w:tc>
          <w:tcPr>
            <w:tcW w:w="2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373,923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540"/>
              <w:spacing w:after="0" w:line="216" w:lineRule="exact"/>
              <w:rPr>
                <w:sz w:val="20"/>
                <w:szCs w:val="20"/>
                <w:color w:val="auto"/>
              </w:rPr>
            </w:pPr>
            <w:r>
              <w:rPr>
                <w:rFonts w:ascii="Times New Roman" w:cs="Times New Roman" w:eastAsia="Times New Roman" w:hAnsi="Times New Roman"/>
                <w:sz w:val="14"/>
                <w:szCs w:val="14"/>
                <w:color w:val="auto"/>
                <w:w w:val="96"/>
              </w:rPr>
              <w:t>due June 4, 2030</w:t>
            </w:r>
            <w:r>
              <w:rPr>
                <w:rFonts w:ascii="Times New Roman" w:cs="Times New Roman" w:eastAsia="Times New Roman" w:hAnsi="Times New Roman"/>
                <w:sz w:val="21"/>
                <w:szCs w:val="21"/>
                <w:color w:val="auto"/>
                <w:w w:val="96"/>
                <w:vertAlign w:val="superscript"/>
              </w:rPr>
              <w:t>(4)(5)(16)</w:t>
            </w:r>
          </w:p>
        </w:tc>
        <w:tc>
          <w:tcPr>
            <w:tcW w:w="1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MN 55437</w:t>
            </w:r>
          </w:p>
        </w:tc>
        <w:tc>
          <w:tcPr>
            <w:tcW w:w="6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p>
      <w:pPr>
        <w:spacing w:after="0" w:line="3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Global Tel Link Corp.</w:t>
      </w:r>
    </w:p>
    <w:p>
      <w:pPr>
        <w:spacing w:after="0" w:line="30" w:lineRule="exact"/>
        <w:rPr>
          <w:sz w:val="20"/>
          <w:szCs w:val="20"/>
          <w:color w:val="auto"/>
        </w:rPr>
      </w:pPr>
    </w:p>
    <w:p>
      <w:pPr>
        <w:ind w:left="1000" w:right="80" w:hanging="179"/>
        <w:spacing w:after="0" w:line="235" w:lineRule="auto"/>
        <w:rPr>
          <w:sz w:val="20"/>
          <w:szCs w:val="20"/>
          <w:color w:val="auto"/>
        </w:rPr>
      </w:pPr>
      <w:r>
        <w:rPr>
          <w:rFonts w:ascii="Times New Roman" w:cs="Times New Roman" w:eastAsia="Times New Roman" w:hAnsi="Times New Roman"/>
          <w:sz w:val="13"/>
          <w:szCs w:val="13"/>
          <w:color w:val="auto"/>
        </w:rPr>
        <w:t>first lien senior secured notes, 11.22% (SOFR + 7.50%), (3.00% floor) due August 6, 2029</w:t>
      </w:r>
      <w:r>
        <w:rPr>
          <w:rFonts w:ascii="Times New Roman" w:cs="Times New Roman" w:eastAsia="Times New Roman" w:hAnsi="Times New Roman"/>
          <w:sz w:val="19"/>
          <w:szCs w:val="19"/>
          <w:color w:val="auto"/>
          <w:vertAlign w:val="superscript"/>
        </w:rPr>
        <w:t>(4)(5)</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(6)(14)(23)</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Total</w:t>
      </w:r>
    </w:p>
    <w:p>
      <w:pPr>
        <w:ind w:left="1180"/>
        <w:spacing w:after="0" w:line="229" w:lineRule="auto"/>
        <w:rPr>
          <w:sz w:val="20"/>
          <w:szCs w:val="20"/>
          <w:color w:val="auto"/>
        </w:rPr>
      </w:pPr>
      <w:r>
        <w:rPr>
          <w:rFonts w:ascii="Times New Roman" w:cs="Times New Roman" w:eastAsia="Times New Roman" w:hAnsi="Times New Roman"/>
          <w:sz w:val="14"/>
          <w:szCs w:val="14"/>
          <w:b w:val="1"/>
          <w:bCs w:val="1"/>
          <w:color w:val="auto"/>
        </w:rPr>
        <w:t>Telecommunication</w:t>
      </w:r>
    </w:p>
    <w:p>
      <w:pPr>
        <w:ind w:left="1180"/>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Total Senior Secured</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12021 Sunset</w:t>
            </w:r>
          </w:p>
        </w:tc>
        <w:tc>
          <w:tcPr>
            <w:tcW w:w="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Hills Road</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Reston,</w:t>
            </w:r>
          </w:p>
        </w:tc>
        <w:tc>
          <w:tcPr>
            <w:tcW w:w="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VA 20190</w:t>
            </w:r>
          </w:p>
        </w:tc>
        <w:tc>
          <w:tcPr>
            <w:tcW w:w="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July 29, 2024   10,379,729</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10,114,431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10,305,099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line="20" w:lineRule="exact"/>
              <w:rPr>
                <w:sz w:val="1"/>
                <w:szCs w:val="1"/>
                <w:color w:val="auto"/>
              </w:rPr>
            </w:pPr>
          </w:p>
        </w:tc>
      </w:tr>
      <w:tr>
        <w:trPr>
          <w:trHeight w:val="468"/>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11,014,010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10,679,022</w:t>
            </w:r>
          </w:p>
        </w:tc>
        <w:tc>
          <w:tcPr>
            <w:tcW w:w="8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169,009,917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147,253,141</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101.3%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-530860</wp:posOffset>
            </wp:positionV>
            <wp:extent cx="514350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-8255</wp:posOffset>
            </wp:positionV>
            <wp:extent cx="514350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00"/>
            <w:col w:w="6459"/>
          </w:cols>
          <w:pgMar w:left="1440" w:top="270" w:right="1440" w:bottom="0" w:gutter="0" w:footer="0" w:header="0"/>
          <w:type w:val="continuous"/>
        </w:sectPr>
      </w:pP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Collateralized Loan Obligation –</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Equity Investments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2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Allegro CLO XII, Ltd.</w:t>
            </w: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00" w:type="dxa"/>
            <w:vAlign w:val="bottom"/>
            <w:shd w:val="clear" w:color="auto" w:fill="CCEEFF"/>
          </w:tcPr>
          <w:p>
            <w:pPr>
              <w:spacing w:after="0"/>
              <w:rPr>
                <w:sz w:val="10"/>
                <w:szCs w:val="10"/>
                <w:color w:val="auto"/>
              </w:rPr>
            </w:pPr>
          </w:p>
        </w:tc>
        <w:tc>
          <w:tcPr>
            <w:tcW w:w="10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 Ocorian</w:t>
            </w:r>
          </w:p>
        </w:tc>
        <w:tc>
          <w:tcPr>
            <w:tcW w:w="7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Windward 3,</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Regatta</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Office Park</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rPr>
                <w:sz w:val="12"/>
                <w:szCs w:val="12"/>
                <w:color w:val="auto"/>
              </w:rPr>
            </w:pP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1350 Grand</w:t>
            </w: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CCEEFF"/>
          </w:tcPr>
          <w:p>
            <w:pPr>
              <w:spacing w:after="0"/>
              <w:rPr>
                <w:sz w:val="8"/>
                <w:szCs w:val="8"/>
                <w:color w:val="auto"/>
              </w:rPr>
            </w:pPr>
          </w:p>
        </w:tc>
        <w:tc>
          <w:tcPr>
            <w:tcW w:w="1060" w:type="dxa"/>
            <w:vAlign w:val="bottom"/>
            <w:vMerge w:val="restart"/>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0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estimated yield 13.53%</w:t>
            </w:r>
          </w:p>
        </w:tc>
        <w:tc>
          <w:tcPr>
            <w:tcW w:w="106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00" w:type="dxa"/>
            <w:vAlign w:val="bottom"/>
            <w:vMerge w:val="continue"/>
            <w:shd w:val="clear" w:color="auto" w:fill="CCEEFF"/>
          </w:tcPr>
          <w:p>
            <w:pPr>
              <w:spacing w:after="0"/>
              <w:rPr>
                <w:sz w:val="9"/>
                <w:szCs w:val="9"/>
                <w:color w:val="auto"/>
              </w:rPr>
            </w:pPr>
          </w:p>
        </w:tc>
        <w:tc>
          <w:tcPr>
            <w:tcW w:w="1060" w:type="dxa"/>
            <w:vAlign w:val="bottom"/>
            <w:vMerge w:val="restart"/>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KY1-1108</w:t>
            </w:r>
          </w:p>
        </w:tc>
        <w:tc>
          <w:tcPr>
            <w:tcW w:w="7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00" w:type="dxa"/>
            <w:vAlign w:val="bottom"/>
            <w:vMerge w:val="restart"/>
            <w:shd w:val="clear" w:color="auto" w:fill="CCEEFF"/>
          </w:tcPr>
          <w:p>
            <w:pPr>
              <w:ind w:left="540"/>
              <w:spacing w:after="0" w:line="190" w:lineRule="exact"/>
              <w:rPr>
                <w:sz w:val="20"/>
                <w:szCs w:val="20"/>
                <w:color w:val="auto"/>
              </w:rPr>
            </w:pPr>
            <w:r>
              <w:rPr>
                <w:rFonts w:ascii="Times New Roman" w:cs="Times New Roman" w:eastAsia="Times New Roman" w:hAnsi="Times New Roman"/>
                <w:sz w:val="14"/>
                <w:szCs w:val="14"/>
                <w:color w:val="auto"/>
              </w:rPr>
              <w:t>due July 21, 2037</w:t>
            </w:r>
            <w:r>
              <w:rPr>
                <w:rFonts w:ascii="Times New Roman" w:cs="Times New Roman" w:eastAsia="Times New Roman" w:hAnsi="Times New Roman"/>
                <w:sz w:val="21"/>
                <w:szCs w:val="21"/>
                <w:color w:val="auto"/>
                <w:vertAlign w:val="superscript"/>
              </w:rPr>
              <w:t>(9)(11)</w:t>
            </w:r>
          </w:p>
        </w:tc>
        <w:tc>
          <w:tcPr>
            <w:tcW w:w="1060" w:type="dxa"/>
            <w:vAlign w:val="bottom"/>
            <w:vMerge w:val="continue"/>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21,</w:t>
            </w:r>
          </w:p>
        </w:tc>
        <w:tc>
          <w:tcPr>
            <w:tcW w:w="9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00" w:type="dxa"/>
            <w:vAlign w:val="bottom"/>
            <w:vMerge w:val="continue"/>
            <w:shd w:val="clear" w:color="auto" w:fill="CCEEFF"/>
          </w:tcPr>
          <w:p>
            <w:pPr>
              <w:spacing w:after="0"/>
              <w:rPr>
                <w:sz w:val="12"/>
                <w:szCs w:val="12"/>
                <w:color w:val="auto"/>
              </w:rPr>
            </w:pPr>
          </w:p>
        </w:tc>
        <w:tc>
          <w:tcPr>
            <w:tcW w:w="106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Cayman</w:t>
            </w:r>
          </w:p>
        </w:tc>
        <w:tc>
          <w:tcPr>
            <w:tcW w:w="76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w:t>
            </w:r>
          </w:p>
        </w:tc>
        <w:tc>
          <w:tcPr>
            <w:tcW w:w="1060" w:type="dxa"/>
            <w:vAlign w:val="bottom"/>
            <w:vMerge w:val="continue"/>
            <w:shd w:val="clear" w:color="auto" w:fill="CCEEFF"/>
          </w:tcPr>
          <w:p>
            <w:pPr>
              <w:spacing w:after="0"/>
              <w:rPr>
                <w:sz w:val="12"/>
                <w:szCs w:val="12"/>
                <w:color w:val="auto"/>
              </w:rPr>
            </w:pPr>
          </w:p>
        </w:tc>
        <w:tc>
          <w:tcPr>
            <w:tcW w:w="9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3,000,000</w:t>
            </w:r>
          </w:p>
        </w:tc>
        <w:tc>
          <w:tcPr>
            <w:tcW w:w="9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1,861,641</w:t>
            </w:r>
          </w:p>
        </w:tc>
        <w:tc>
          <w:tcPr>
            <w:tcW w:w="140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1,350,000</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(12)(18)(22)</w:t>
            </w:r>
          </w:p>
        </w:tc>
        <w:tc>
          <w:tcPr>
            <w:tcW w:w="1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Islands</w:t>
            </w:r>
          </w:p>
        </w:tc>
        <w:tc>
          <w:tcPr>
            <w:tcW w:w="76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2024</w:t>
            </w:r>
          </w:p>
        </w:tc>
        <w:tc>
          <w:tcPr>
            <w:tcW w:w="9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960" w:type="dxa"/>
            <w:vAlign w:val="bottom"/>
          </w:tcPr>
          <w:p>
            <w:pPr>
              <w:spacing w:after="0"/>
              <w:rPr>
                <w:sz w:val="13"/>
                <w:szCs w:val="13"/>
                <w:color w:val="auto"/>
              </w:rPr>
            </w:pPr>
          </w:p>
        </w:tc>
        <w:tc>
          <w:tcPr>
            <w:tcW w:w="1060" w:type="dxa"/>
            <w:vAlign w:val="bottom"/>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106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9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7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w:t>
            </w:r>
          </w:p>
        </w:tc>
        <w:tc>
          <w:tcPr>
            <w:tcW w:w="58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90"/>
        </w:trPr>
        <w:tc>
          <w:tcPr>
            <w:tcW w:w="1960" w:type="dxa"/>
            <w:vAlign w:val="bottom"/>
            <w:vMerge w:val="continue"/>
          </w:tcPr>
          <w:p>
            <w:pPr>
              <w:spacing w:after="0"/>
              <w:rPr>
                <w:sz w:val="16"/>
                <w:szCs w:val="16"/>
                <w:color w:val="auto"/>
              </w:rPr>
            </w:pPr>
          </w:p>
        </w:tc>
        <w:tc>
          <w:tcPr>
            <w:tcW w:w="10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8"/>
              </w:rPr>
              <w:t>ADDRESS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AMOUNT</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6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5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640" w:hanging="179"/>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Collateralized Loan Obligation – Equity Investments – (continued)</w:t>
      </w:r>
    </w:p>
    <w:p>
      <w:pPr>
        <w:spacing w:after="0" w:line="9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Ares XLIV CLO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0" w:right="10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21.10% due April 15, 2034</w:t>
      </w:r>
      <w:r>
        <w:rPr>
          <w:rFonts w:ascii="Times New Roman" w:cs="Times New Roman" w:eastAsia="Times New Roman" w:hAnsi="Times New Roman"/>
          <w:sz w:val="19"/>
          <w:szCs w:val="19"/>
          <w:color w:val="auto"/>
          <w:vertAlign w:val="superscript"/>
        </w:rPr>
        <w:t>(9)(11)</w:t>
      </w:r>
    </w:p>
    <w:p>
      <w:pPr>
        <w:jc w:val="center"/>
        <w:ind w:left="60"/>
        <w:spacing w:after="0"/>
        <w:rPr>
          <w:sz w:val="20"/>
          <w:szCs w:val="20"/>
          <w:color w:val="auto"/>
        </w:rPr>
      </w:pPr>
      <w:r>
        <w:rPr>
          <w:rFonts w:ascii="Times New Roman" w:cs="Times New Roman" w:eastAsia="Times New Roman" w:hAnsi="Times New Roman"/>
          <w:sz w:val="11"/>
          <w:szCs w:val="11"/>
          <w:color w:val="auto"/>
        </w:rPr>
        <w:t>(12)(18)(22)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00" w:type="dxa"/>
            <w:vAlign w:val="bottom"/>
          </w:tcPr>
          <w:p>
            <w:pPr>
              <w:spacing w:after="0"/>
              <w:rPr>
                <w:sz w:val="12"/>
                <w:szCs w:val="12"/>
                <w:color w:val="auto"/>
              </w:rPr>
            </w:pPr>
          </w:p>
        </w:tc>
        <w:tc>
          <w:tcPr>
            <w:tcW w:w="10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December 15,</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1060" w:type="dxa"/>
            <w:vAlign w:val="bottom"/>
            <w:vMerge w:val="continue"/>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5,000,000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1,333,874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877,005</w:t>
            </w:r>
          </w:p>
        </w:tc>
        <w:tc>
          <w:tcPr>
            <w:tcW w:w="0" w:type="dxa"/>
            <w:vAlign w:val="bottom"/>
          </w:tcPr>
          <w:p>
            <w:pPr>
              <w:spacing w:after="0"/>
              <w:rPr>
                <w:sz w:val="1"/>
                <w:szCs w:val="1"/>
                <w:color w:val="auto"/>
              </w:rPr>
            </w:pPr>
          </w:p>
        </w:tc>
      </w:tr>
      <w:tr>
        <w:trPr>
          <w:trHeight w:val="18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00" w:type="dxa"/>
            <w:vAlign w:val="bottom"/>
            <w:vMerge w:val="continue"/>
          </w:tcPr>
          <w:p>
            <w:pPr>
              <w:spacing w:after="0"/>
              <w:rPr>
                <w:sz w:val="16"/>
                <w:szCs w:val="16"/>
                <w:color w:val="auto"/>
              </w:rPr>
            </w:pP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-953135</wp:posOffset>
            </wp:positionV>
            <wp:extent cx="5143500" cy="968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143500" cy="96837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-1450340</wp:posOffset>
            </wp:positionV>
            <wp:extent cx="5143500"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514350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140"/>
            <w:col w:w="6399"/>
          </w:cols>
          <w:pgMar w:left="1440" w:top="270" w:right="1440" w:bottom="1440" w:gutter="0" w:footer="0" w:header="0"/>
          <w:type w:val="continuous"/>
        </w:sectPr>
      </w:pP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Atlas Senior Loan Fund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-85725</wp:posOffset>
            </wp:positionV>
            <wp:extent cx="514350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5143500" cy="21463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4"/>
          <w:szCs w:val="14"/>
          <w:b w:val="1"/>
          <w:bCs w:val="1"/>
          <w:color w:val="auto"/>
        </w:rPr>
        <w:t>Ltd.</w:t>
      </w:r>
    </w:p>
    <w:tbl>
      <w:tblPr>
        <w:tblLayout w:type="fixed"/>
        <w:tblInd w:w="46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w:t>
            </w: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EsteraTrust</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Clifton House,</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75 Fort Street,</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00" w:type="dxa"/>
            <w:vAlign w:val="bottom"/>
            <w:vMerge w:val="continue"/>
          </w:tcPr>
          <w:p>
            <w:pPr>
              <w:spacing w:after="0"/>
              <w:rPr>
                <w:sz w:val="8"/>
                <w:szCs w:val="8"/>
                <w:color w:val="auto"/>
              </w:rPr>
            </w:pPr>
          </w:p>
        </w:tc>
        <w:tc>
          <w:tcPr>
            <w:tcW w:w="108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1350, Grand</w:t>
            </w: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estimated yield 0.00% due</w:t>
            </w:r>
          </w:p>
        </w:tc>
        <w:tc>
          <w:tcPr>
            <w:tcW w:w="10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100" w:type="dxa"/>
            <w:vAlign w:val="bottom"/>
            <w:vMerge w:val="continue"/>
          </w:tcPr>
          <w:p>
            <w:pPr>
              <w:spacing w:after="0"/>
              <w:rPr>
                <w:sz w:val="12"/>
                <w:szCs w:val="12"/>
                <w:color w:val="auto"/>
              </w:rPr>
            </w:pPr>
          </w:p>
        </w:tc>
        <w:tc>
          <w:tcPr>
            <w:tcW w:w="108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Cayman KY1-</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ind w:left="540"/>
              <w:spacing w:after="0" w:line="149" w:lineRule="exact"/>
              <w:rPr>
                <w:sz w:val="20"/>
                <w:szCs w:val="20"/>
                <w:color w:val="auto"/>
              </w:rPr>
            </w:pPr>
            <w:r>
              <w:rPr>
                <w:rFonts w:ascii="Times New Roman" w:cs="Times New Roman" w:eastAsia="Times New Roman" w:hAnsi="Times New Roman"/>
                <w:sz w:val="17"/>
                <w:szCs w:val="17"/>
                <w:color w:val="auto"/>
                <w:vertAlign w:val="subscript"/>
              </w:rPr>
              <w:t>July 26, 2031</w:t>
            </w:r>
            <w:r>
              <w:rPr>
                <w:rFonts w:ascii="Times New Roman" w:cs="Times New Roman" w:eastAsia="Times New Roman" w:hAnsi="Times New Roman"/>
                <w:sz w:val="8"/>
                <w:szCs w:val="8"/>
                <w:color w:val="auto"/>
              </w:rPr>
              <w:t>(9)(11)(12)(18)</w:t>
            </w: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1108, 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April 5, 2019</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5,725,000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1,402,272</w:t>
            </w:r>
          </w:p>
        </w:tc>
        <w:tc>
          <w:tcPr>
            <w:tcW w:w="136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color w:val="auto"/>
              </w:rPr>
              <w:t>14,313</w:t>
            </w:r>
          </w:p>
        </w:tc>
        <w:tc>
          <w:tcPr>
            <w:tcW w:w="0" w:type="dxa"/>
            <w:vAlign w:val="bottom"/>
          </w:tcPr>
          <w:p>
            <w:pPr>
              <w:spacing w:after="0"/>
              <w:rPr>
                <w:sz w:val="1"/>
                <w:szCs w:val="1"/>
                <w:color w:val="auto"/>
              </w:rPr>
            </w:pPr>
          </w:p>
        </w:tc>
      </w:tr>
      <w:tr>
        <w:trPr>
          <w:trHeight w:val="193"/>
        </w:trPr>
        <w:tc>
          <w:tcPr>
            <w:tcW w:w="21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(22)(25)</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100" w:type="dxa"/>
            <w:vAlign w:val="bottom"/>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Bain Capital Credit</w:t>
            </w: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1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CLO 2017-2, Ltd.</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rPr>
                <w:sz w:val="10"/>
                <w:szCs w:val="10"/>
                <w:color w:val="auto"/>
              </w:rPr>
            </w:pPr>
          </w:p>
        </w:tc>
        <w:tc>
          <w:tcPr>
            <w:tcW w:w="108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10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Limited, PO</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rPr>
                <w:sz w:val="12"/>
                <w:szCs w:val="12"/>
                <w:color w:val="auto"/>
              </w:rPr>
            </w:pPr>
          </w:p>
        </w:tc>
        <w:tc>
          <w:tcPr>
            <w:tcW w:w="10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Box 1093</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10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0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shd w:val="clear" w:color="auto" w:fill="CCEEFF"/>
          </w:tcPr>
          <w:p>
            <w:pPr>
              <w:spacing w:after="0"/>
              <w:rPr>
                <w:sz w:val="8"/>
                <w:szCs w:val="8"/>
                <w:color w:val="auto"/>
              </w:rPr>
            </w:pPr>
          </w:p>
        </w:tc>
        <w:tc>
          <w:tcPr>
            <w:tcW w:w="1080" w:type="dxa"/>
            <w:vAlign w:val="bottom"/>
            <w:vMerge w:val="restart"/>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0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estimated yield 13.71%</w:t>
            </w:r>
          </w:p>
        </w:tc>
        <w:tc>
          <w:tcPr>
            <w:tcW w:w="108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100" w:type="dxa"/>
            <w:vAlign w:val="bottom"/>
            <w:vMerge w:val="continue"/>
            <w:shd w:val="clear" w:color="auto" w:fill="CCEEFF"/>
          </w:tcPr>
          <w:p>
            <w:pPr>
              <w:spacing w:after="0"/>
              <w:rPr>
                <w:sz w:val="9"/>
                <w:szCs w:val="9"/>
                <w:color w:val="auto"/>
              </w:rPr>
            </w:pPr>
          </w:p>
        </w:tc>
        <w:tc>
          <w:tcPr>
            <w:tcW w:w="10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Cayman, KYl-</w:t>
            </w:r>
          </w:p>
        </w:tc>
        <w:tc>
          <w:tcPr>
            <w:tcW w:w="7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00" w:type="dxa"/>
            <w:vAlign w:val="bottom"/>
            <w:shd w:val="clear" w:color="auto" w:fill="CCEEFF"/>
          </w:tcPr>
          <w:p>
            <w:pPr>
              <w:ind w:left="1560"/>
              <w:spacing w:after="0" w:line="109" w:lineRule="exact"/>
              <w:rPr>
                <w:sz w:val="20"/>
                <w:szCs w:val="20"/>
                <w:color w:val="auto"/>
              </w:rPr>
            </w:pPr>
            <w:r>
              <w:rPr>
                <w:rFonts w:ascii="Times New Roman" w:cs="Times New Roman" w:eastAsia="Times New Roman" w:hAnsi="Times New Roman"/>
                <w:sz w:val="11"/>
                <w:szCs w:val="11"/>
                <w:color w:val="auto"/>
              </w:rPr>
              <w:t>(9)(11)(12)</w:t>
            </w:r>
          </w:p>
        </w:tc>
        <w:tc>
          <w:tcPr>
            <w:tcW w:w="1080" w:type="dxa"/>
            <w:vAlign w:val="bottom"/>
            <w:vMerge w:val="continue"/>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17,</w:t>
            </w:r>
          </w:p>
        </w:tc>
        <w:tc>
          <w:tcPr>
            <w:tcW w:w="8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00" w:type="dxa"/>
            <w:vAlign w:val="bottom"/>
            <w:shd w:val="clear" w:color="auto" w:fill="CCEEFF"/>
          </w:tcPr>
          <w:p>
            <w:pPr>
              <w:ind w:left="540"/>
              <w:spacing w:after="0" w:line="81" w:lineRule="exact"/>
              <w:rPr>
                <w:sz w:val="20"/>
                <w:szCs w:val="20"/>
                <w:color w:val="auto"/>
              </w:rPr>
            </w:pPr>
            <w:r>
              <w:rPr>
                <w:rFonts w:ascii="Times New Roman" w:cs="Times New Roman" w:eastAsia="Times New Roman" w:hAnsi="Times New Roman"/>
                <w:sz w:val="9"/>
                <w:szCs w:val="9"/>
                <w:color w:val="auto"/>
              </w:rPr>
              <w:t>due July 25, 2037</w:t>
            </w:r>
          </w:p>
        </w:tc>
        <w:tc>
          <w:tcPr>
            <w:tcW w:w="1080" w:type="dxa"/>
            <w:vAlign w:val="bottom"/>
            <w:shd w:val="clear" w:color="auto" w:fill="CCEEFF"/>
          </w:tcPr>
          <w:p>
            <w:pPr>
              <w:ind w:left="60"/>
              <w:spacing w:after="0" w:line="81" w:lineRule="exact"/>
              <w:rPr>
                <w:sz w:val="20"/>
                <w:szCs w:val="20"/>
                <w:color w:val="auto"/>
              </w:rPr>
            </w:pPr>
            <w:r>
              <w:rPr>
                <w:rFonts w:ascii="Times New Roman" w:cs="Times New Roman" w:eastAsia="Times New Roman" w:hAnsi="Times New Roman"/>
                <w:sz w:val="9"/>
                <w:szCs w:val="9"/>
                <w:color w:val="auto"/>
              </w:rPr>
              <w:t>1102 Cayman</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1120" w:type="dxa"/>
            <w:vAlign w:val="bottom"/>
            <w:vMerge w:val="continue"/>
            <w:shd w:val="clear" w:color="auto" w:fill="CCEEFF"/>
          </w:tcPr>
          <w:p>
            <w:pPr>
              <w:spacing w:after="0"/>
              <w:rPr>
                <w:sz w:val="7"/>
                <w:szCs w:val="7"/>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3,086,500</w:t>
            </w: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1,780,067</w:t>
            </w:r>
          </w:p>
        </w:tc>
        <w:tc>
          <w:tcPr>
            <w:tcW w:w="136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1,111,140</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(18)(22)</w:t>
            </w:r>
          </w:p>
        </w:tc>
        <w:tc>
          <w:tcPr>
            <w:tcW w:w="1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tcBorders>
              <w:bottom w:val="single" w:sz="8" w:color="CCEEFF"/>
            </w:tcBorders>
            <w:vMerge w:val="continue"/>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13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10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BlueMountain CLO 2014-2</w:t>
            </w:r>
          </w:p>
        </w:tc>
        <w:tc>
          <w:tcPr>
            <w:tcW w:w="10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1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Ltd.</w:t>
            </w:r>
          </w:p>
        </w:tc>
        <w:tc>
          <w:tcPr>
            <w:tcW w:w="10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Queensgate</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0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House Grand</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108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estimated yield 0.00% due</w:t>
            </w:r>
          </w:p>
        </w:tc>
        <w:tc>
          <w:tcPr>
            <w:tcW w:w="10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100" w:type="dxa"/>
            <w:vAlign w:val="bottom"/>
            <w:vMerge w:val="continue"/>
          </w:tcPr>
          <w:p>
            <w:pPr>
              <w:spacing w:after="0"/>
              <w:rPr>
                <w:sz w:val="10"/>
                <w:szCs w:val="10"/>
                <w:color w:val="auto"/>
              </w:rPr>
            </w:pPr>
          </w:p>
        </w:tc>
        <w:tc>
          <w:tcPr>
            <w:tcW w:w="1080" w:type="dxa"/>
            <w:vAlign w:val="bottom"/>
          </w:tcPr>
          <w:p>
            <w:pPr>
              <w:ind w:left="60"/>
              <w:spacing w:after="0" w:line="116" w:lineRule="exact"/>
              <w:rPr>
                <w:sz w:val="20"/>
                <w:szCs w:val="20"/>
                <w:color w:val="auto"/>
              </w:rPr>
            </w:pPr>
            <w:r>
              <w:rPr>
                <w:rFonts w:ascii="Times New Roman" w:cs="Times New Roman" w:eastAsia="Times New Roman" w:hAnsi="Times New Roman"/>
                <w:sz w:val="13"/>
                <w:szCs w:val="13"/>
                <w:color w:val="auto"/>
              </w:rPr>
              <w:t>KY1-1102</w:t>
            </w: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00" w:type="dxa"/>
            <w:vAlign w:val="bottom"/>
          </w:tcPr>
          <w:p>
            <w:pPr>
              <w:ind w:left="540"/>
              <w:spacing w:after="0" w:line="177" w:lineRule="exact"/>
              <w:rPr>
                <w:sz w:val="20"/>
                <w:szCs w:val="20"/>
                <w:color w:val="auto"/>
              </w:rPr>
            </w:pPr>
            <w:r>
              <w:rPr>
                <w:rFonts w:ascii="Times New Roman" w:cs="Times New Roman" w:eastAsia="Times New Roman" w:hAnsi="Times New Roman"/>
                <w:sz w:val="14"/>
                <w:szCs w:val="14"/>
                <w:color w:val="auto"/>
                <w:w w:val="97"/>
              </w:rPr>
              <w:t>October 20, 2030</w:t>
            </w:r>
            <w:r>
              <w:rPr>
                <w:rFonts w:ascii="Times New Roman" w:cs="Times New Roman" w:eastAsia="Times New Roman" w:hAnsi="Times New Roman"/>
                <w:sz w:val="20"/>
                <w:szCs w:val="20"/>
                <w:color w:val="auto"/>
                <w:w w:val="97"/>
                <w:vertAlign w:val="superscript"/>
              </w:rPr>
              <w:t>(9)(11)(12)</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April 3, 2019</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6,374,000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365,288</w:t>
            </w:r>
          </w:p>
        </w:tc>
        <w:tc>
          <w:tcPr>
            <w:tcW w:w="136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color w:val="auto"/>
              </w:rPr>
              <w:t>63,740</w:t>
            </w:r>
          </w:p>
        </w:tc>
        <w:tc>
          <w:tcPr>
            <w:tcW w:w="0" w:type="dxa"/>
            <w:vAlign w:val="bottom"/>
          </w:tcPr>
          <w:p>
            <w:pPr>
              <w:spacing w:after="0"/>
              <w:rPr>
                <w:sz w:val="1"/>
                <w:szCs w:val="1"/>
                <w:color w:val="auto"/>
              </w:rPr>
            </w:pPr>
          </w:p>
        </w:tc>
      </w:tr>
      <w:tr>
        <w:trPr>
          <w:trHeight w:val="193"/>
        </w:trPr>
        <w:tc>
          <w:tcPr>
            <w:tcW w:w="21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(18)(25)</w:t>
            </w:r>
          </w:p>
        </w:tc>
        <w:tc>
          <w:tcPr>
            <w:tcW w:w="1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p>
      <w:pPr>
        <w:spacing w:after="0" w:line="282" w:lineRule="exact"/>
        <w:rPr>
          <w:sz w:val="20"/>
          <w:szCs w:val="20"/>
          <w:color w:val="auto"/>
        </w:rPr>
      </w:pPr>
    </w:p>
    <w:p>
      <w:pPr>
        <w:ind w:left="1000" w:hanging="179"/>
        <w:spacing w:after="0" w:line="264" w:lineRule="auto"/>
        <w:rPr>
          <w:sz w:val="20"/>
          <w:szCs w:val="20"/>
          <w:color w:val="auto"/>
        </w:rPr>
      </w:pPr>
      <w:r>
        <w:rPr>
          <w:rFonts w:ascii="Times New Roman" w:cs="Times New Roman" w:eastAsia="Times New Roman" w:hAnsi="Times New Roman"/>
          <w:sz w:val="14"/>
          <w:szCs w:val="14"/>
          <w:b w:val="1"/>
          <w:bCs w:val="1"/>
          <w:color w:val="auto"/>
        </w:rPr>
        <w:t>BlueMountain CLO XXXI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8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16.75% due April 19, 2034</w:t>
      </w:r>
      <w:r>
        <w:rPr>
          <w:rFonts w:ascii="Times New Roman" w:cs="Times New Roman" w:eastAsia="Times New Roman" w:hAnsi="Times New Roman"/>
          <w:sz w:val="19"/>
          <w:szCs w:val="19"/>
          <w:color w:val="auto"/>
          <w:vertAlign w:val="superscript"/>
        </w:rPr>
        <w:t>(9)(11)</w:t>
      </w:r>
    </w:p>
    <w:p>
      <w:pPr>
        <w:jc w:val="center"/>
        <w:ind w:left="80"/>
        <w:spacing w:after="0"/>
        <w:rPr>
          <w:sz w:val="20"/>
          <w:szCs w:val="20"/>
          <w:color w:val="auto"/>
        </w:rPr>
      </w:pPr>
      <w:r>
        <w:rPr>
          <w:rFonts w:ascii="Times New Roman" w:cs="Times New Roman" w:eastAsia="Times New Roman" w:hAnsi="Times New Roman"/>
          <w:sz w:val="11"/>
          <w:szCs w:val="11"/>
          <w:color w:val="auto"/>
        </w:rPr>
        <w:t>(12)(18)(22)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P.O. Box 1093</w:t>
            </w:r>
          </w:p>
        </w:tc>
        <w:tc>
          <w:tcPr>
            <w:tcW w:w="7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29.8%</w:t>
            </w:r>
          </w:p>
        </w:tc>
        <w:tc>
          <w:tcPr>
            <w:tcW w:w="20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April 16, 2024   12,075,000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7,092,735</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4,226,250</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-953135</wp:posOffset>
            </wp:positionV>
            <wp:extent cx="5143500" cy="968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143500" cy="9683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60"/>
            <w:col w:w="6399"/>
          </w:cols>
          <w:pgMar w:left="1440" w:top="270" w:right="1440" w:bottom="1440" w:gutter="0" w:footer="0" w:header="0"/>
          <w:type w:val="continuous"/>
        </w:sectPr>
      </w:pPr>
    </w:p>
    <w:p>
      <w:pPr>
        <w:spacing w:after="0" w:line="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Carlyle Global Market</w:t>
      </w:r>
    </w:p>
    <w:p>
      <w:pPr>
        <w:ind w:left="1000"/>
        <w:spacing w:after="0" w:line="229" w:lineRule="auto"/>
        <w:rPr>
          <w:sz w:val="20"/>
          <w:szCs w:val="20"/>
          <w:color w:val="auto"/>
        </w:rPr>
      </w:pPr>
      <w:r>
        <w:rPr>
          <w:rFonts w:ascii="Times New Roman" w:cs="Times New Roman" w:eastAsia="Times New Roman" w:hAnsi="Times New Roman"/>
          <w:sz w:val="14"/>
          <w:szCs w:val="14"/>
          <w:b w:val="1"/>
          <w:bCs w:val="1"/>
          <w:color w:val="auto"/>
        </w:rPr>
        <w:t>Strategies CLO 2021-6,</w:t>
      </w:r>
    </w:p>
    <w:p>
      <w:pPr>
        <w:ind w:left="1000"/>
        <w:spacing w:after="0"/>
        <w:rPr>
          <w:sz w:val="20"/>
          <w:szCs w:val="20"/>
          <w:color w:val="auto"/>
        </w:rPr>
      </w:pPr>
      <w:r>
        <w:rPr>
          <w:rFonts w:ascii="Times New Roman" w:cs="Times New Roman" w:eastAsia="Times New Roman" w:hAnsi="Times New Roman"/>
          <w:sz w:val="14"/>
          <w:szCs w:val="14"/>
          <w:b w:val="1"/>
          <w:bCs w:val="1"/>
          <w:color w:val="auto"/>
        </w:rPr>
        <w:t>Ltd.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13.39% due January 15, 2038</w:t>
      </w:r>
      <w:r>
        <w:rPr>
          <w:rFonts w:ascii="Times New Roman" w:cs="Times New Roman" w:eastAsia="Times New Roman" w:hAnsi="Times New Roman"/>
          <w:sz w:val="19"/>
          <w:szCs w:val="19"/>
          <w:color w:val="auto"/>
          <w:vertAlign w:val="superscript"/>
        </w:rPr>
        <w:t>(9)(11)</w:t>
      </w:r>
    </w:p>
    <w:p>
      <w:pPr>
        <w:jc w:val="center"/>
        <w:ind w:left="20"/>
        <w:spacing w:after="0"/>
        <w:rPr>
          <w:sz w:val="20"/>
          <w:szCs w:val="20"/>
          <w:color w:val="auto"/>
        </w:rPr>
      </w:pPr>
      <w:r>
        <w:rPr>
          <w:rFonts w:ascii="Times New Roman" w:cs="Times New Roman" w:eastAsia="Times New Roman" w:hAnsi="Times New Roman"/>
          <w:sz w:val="11"/>
          <w:szCs w:val="11"/>
          <w:color w:val="auto"/>
        </w:rPr>
        <w:t>(12)(14)(18)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Walkers</w:t>
            </w:r>
          </w:p>
        </w:tc>
        <w:tc>
          <w:tcPr>
            <w:tcW w:w="7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Fiduciary</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 190</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Elgin Avenue,</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George Town,</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KY1-</w:t>
            </w:r>
          </w:p>
        </w:tc>
        <w:tc>
          <w:tcPr>
            <w:tcW w:w="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9008, Cayman</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53.1%</w:t>
            </w:r>
          </w:p>
        </w:tc>
        <w:tc>
          <w:tcPr>
            <w:tcW w:w="3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June 30, 2021   29,600,000   18,330,018   12,136,000</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40" w:type="dxa"/>
            <w:vAlign w:val="bottom"/>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-1167130</wp:posOffset>
            </wp:positionV>
            <wp:extent cx="514350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520" w:space="100"/>
            <w:col w:w="639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216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COMPANY</w:t>
            </w: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96"/>
        </w:trPr>
        <w:tc>
          <w:tcPr>
            <w:tcW w:w="2160" w:type="dxa"/>
            <w:vAlign w:val="bottom"/>
            <w:gridSpan w:val="6"/>
            <w:vMerge w:val="continue"/>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ADDRESS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4"/>
                <w:szCs w:val="14"/>
                <w:b w:val="1"/>
                <w:bCs w:val="1"/>
                <w:color w:val="auto"/>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r>
        <w:trPr>
          <w:trHeight w:val="135"/>
        </w:trPr>
        <w:tc>
          <w:tcPr>
            <w:tcW w:w="2080" w:type="dxa"/>
            <w:vAlign w:val="bottom"/>
            <w:tcBorders>
              <w:top w:val="single" w:sz="8" w:color="auto"/>
            </w:tcBorders>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Collateralized Loan Obligation –</w:t>
            </w: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 w:type="dxa"/>
            <w:vAlign w:val="bottom"/>
            <w:tcBorders>
              <w:top w:val="single" w:sz="8" w:color="auto"/>
            </w:tcBorders>
            <w:shd w:val="clear" w:color="auto" w:fill="CCEEFF"/>
          </w:tcPr>
          <w:p>
            <w:pPr>
              <w:spacing w:after="0"/>
              <w:rPr>
                <w:sz w:val="11"/>
                <w:szCs w:val="11"/>
                <w:color w:val="auto"/>
              </w:rPr>
            </w:pPr>
          </w:p>
        </w:tc>
        <w:tc>
          <w:tcPr>
            <w:tcW w:w="1840" w:type="dxa"/>
            <w:vAlign w:val="bottom"/>
            <w:tcBorders>
              <w:top w:val="single" w:sz="8" w:color="auto"/>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Equity Investments –</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(continued)</w:t>
            </w: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1980" w:type="dxa"/>
            <w:vAlign w:val="bottom"/>
            <w:gridSpan w:val="5"/>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Cedar Funding II CLO,</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Ltd.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 Estera</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Clifton House,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75 Fort Street,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98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CLO subordinated notes,</w:t>
            </w: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80" w:type="dxa"/>
            <w:vAlign w:val="bottom"/>
            <w:shd w:val="clear" w:color="auto" w:fill="CCEEFF"/>
          </w:tcPr>
          <w:p>
            <w:pPr>
              <w:spacing w:after="0"/>
              <w:rPr>
                <w:sz w:val="8"/>
                <w:szCs w:val="8"/>
                <w:color w:val="auto"/>
              </w:rPr>
            </w:pPr>
          </w:p>
        </w:tc>
        <w:tc>
          <w:tcPr>
            <w:tcW w:w="1980" w:type="dxa"/>
            <w:vAlign w:val="bottom"/>
            <w:gridSpan w:val="5"/>
            <w:vMerge w:val="continue"/>
            <w:shd w:val="clear" w:color="auto" w:fill="CCEEFF"/>
          </w:tcPr>
          <w:p>
            <w:pPr>
              <w:spacing w:after="0"/>
              <w:rPr>
                <w:sz w:val="8"/>
                <w:szCs w:val="8"/>
                <w:color w:val="auto"/>
              </w:rPr>
            </w:pPr>
          </w:p>
        </w:tc>
        <w:tc>
          <w:tcPr>
            <w:tcW w:w="920" w:type="dxa"/>
            <w:vAlign w:val="bottom"/>
            <w:gridSpan w:val="2"/>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1350, Grand</w:t>
            </w: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0" w:type="dxa"/>
            <w:vAlign w:val="bottom"/>
            <w:shd w:val="clear" w:color="auto" w:fill="CCEEFF"/>
          </w:tcPr>
          <w:p>
            <w:pPr>
              <w:spacing w:after="0"/>
              <w:rPr>
                <w:sz w:val="4"/>
                <w:szCs w:val="4"/>
                <w:color w:val="auto"/>
              </w:rPr>
            </w:pPr>
          </w:p>
        </w:tc>
        <w:tc>
          <w:tcPr>
            <w:tcW w:w="1980" w:type="dxa"/>
            <w:vAlign w:val="bottom"/>
            <w:gridSpan w:val="5"/>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estimated yield 8.60% due</w:t>
            </w:r>
          </w:p>
        </w:tc>
        <w:tc>
          <w:tcPr>
            <w:tcW w:w="920" w:type="dxa"/>
            <w:vAlign w:val="bottom"/>
            <w:gridSpan w:val="2"/>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rPr>
                <w:sz w:val="12"/>
                <w:szCs w:val="12"/>
                <w:color w:val="auto"/>
              </w:rPr>
            </w:pPr>
          </w:p>
        </w:tc>
        <w:tc>
          <w:tcPr>
            <w:tcW w:w="1980" w:type="dxa"/>
            <w:vAlign w:val="bottom"/>
            <w:gridSpan w:val="5"/>
            <w:vMerge w:val="continue"/>
            <w:shd w:val="clear" w:color="auto" w:fill="CCEEFF"/>
          </w:tcPr>
          <w:p>
            <w:pPr>
              <w:spacing w:after="0"/>
              <w:rPr>
                <w:sz w:val="12"/>
                <w:szCs w:val="12"/>
                <w:color w:val="auto"/>
              </w:rPr>
            </w:pPr>
          </w:p>
        </w:tc>
        <w:tc>
          <w:tcPr>
            <w:tcW w:w="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Cayman KY1-</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October 23,</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980" w:type="dxa"/>
            <w:vAlign w:val="bottom"/>
            <w:gridSpan w:val="5"/>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color w:val="auto"/>
                <w:vertAlign w:val="subscript"/>
              </w:rPr>
              <w:t>July 22, 2038</w:t>
            </w:r>
            <w:r>
              <w:rPr>
                <w:rFonts w:ascii="Times New Roman" w:cs="Times New Roman" w:eastAsia="Times New Roman" w:hAnsi="Times New Roman"/>
                <w:sz w:val="8"/>
                <w:szCs w:val="8"/>
                <w:color w:val="auto"/>
              </w:rPr>
              <w:t>(9)(11)(12)(13)</w:t>
            </w: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1108, Cayman</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$ 18,000,000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$ 10,594,006</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6,505,322</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(18)(24)</w:t>
            </w: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Islands</w:t>
            </w: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860" w:type="dxa"/>
            <w:vAlign w:val="bottom"/>
            <w:tcBorders>
              <w:bottom w:val="single" w:sz="8" w:color="CCEEFF"/>
            </w:tcBorders>
            <w:gridSpan w:val="2"/>
            <w:vMerge w:val="continue"/>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980" w:type="dxa"/>
            <w:vAlign w:val="bottom"/>
            <w:gridSpan w:val="5"/>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Cedar Funding VI CLO,</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Ltd.</w:t>
            </w: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 Appleby</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(Cayman) Ltd.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Clifton House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75 Fort Street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 Box 1350</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9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CLO subordinated notes,</w:t>
            </w: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Cayman KY1-</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98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4"/>
                <w:szCs w:val="14"/>
                <w:color w:val="auto"/>
              </w:rPr>
              <w:t>estimated yield 9.77% due</w:t>
            </w: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1108 Cayman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May 15, 2017</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7,700,000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5,455,615</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2,579,500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980" w:type="dxa"/>
            <w:vAlign w:val="bottom"/>
            <w:gridSpan w:val="5"/>
          </w:tcPr>
          <w:p>
            <w:pPr>
              <w:ind w:left="360"/>
              <w:spacing w:after="0" w:line="216" w:lineRule="exact"/>
              <w:rPr>
                <w:sz w:val="20"/>
                <w:szCs w:val="20"/>
                <w:color w:val="auto"/>
              </w:rPr>
            </w:pPr>
            <w:r>
              <w:rPr>
                <w:rFonts w:ascii="Times New Roman" w:cs="Times New Roman" w:eastAsia="Times New Roman" w:hAnsi="Times New Roman"/>
                <w:sz w:val="25"/>
                <w:szCs w:val="25"/>
                <w:color w:val="auto"/>
                <w:vertAlign w:val="subscript"/>
              </w:rPr>
              <w:t>April 20, 2034</w:t>
            </w:r>
            <w:r>
              <w:rPr>
                <w:rFonts w:ascii="Times New Roman" w:cs="Times New Roman" w:eastAsia="Times New Roman" w:hAnsi="Times New Roman"/>
                <w:sz w:val="10"/>
                <w:szCs w:val="10"/>
                <w:color w:val="auto"/>
              </w:rPr>
              <w:t>(9)(11)(12)(18)</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Islands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CIFC Funding 2014-3, Ltd.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 MaplesFS</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Queensgate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98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CLO income notes, estimated</w:t>
            </w: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House Grand</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rPr>
                <w:sz w:val="12"/>
                <w:szCs w:val="12"/>
                <w:color w:val="auto"/>
              </w:rPr>
            </w:pPr>
          </w:p>
        </w:tc>
        <w:tc>
          <w:tcPr>
            <w:tcW w:w="1980" w:type="dxa"/>
            <w:vAlign w:val="bottom"/>
            <w:gridSpan w:val="5"/>
            <w:vMerge w:val="continue"/>
            <w:shd w:val="clear" w:color="auto" w:fill="CCEEFF"/>
          </w:tcPr>
          <w:p>
            <w:pPr>
              <w:spacing w:after="0"/>
              <w:rPr>
                <w:sz w:val="12"/>
                <w:szCs w:val="12"/>
                <w:color w:val="auto"/>
              </w:rPr>
            </w:pPr>
          </w:p>
        </w:tc>
        <w:tc>
          <w:tcPr>
            <w:tcW w:w="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1980" w:type="dxa"/>
            <w:vAlign w:val="bottom"/>
            <w:gridSpan w:val="5"/>
            <w:shd w:val="clear" w:color="auto" w:fill="CCEEFF"/>
          </w:tcPr>
          <w:p>
            <w:pPr>
              <w:ind w:left="360"/>
              <w:spacing w:after="0" w:line="108" w:lineRule="exact"/>
              <w:rPr>
                <w:sz w:val="20"/>
                <w:szCs w:val="20"/>
                <w:color w:val="auto"/>
              </w:rPr>
            </w:pPr>
            <w:r>
              <w:rPr>
                <w:rFonts w:ascii="Times New Roman" w:cs="Times New Roman" w:eastAsia="Times New Roman" w:hAnsi="Times New Roman"/>
                <w:sz w:val="12"/>
                <w:szCs w:val="12"/>
                <w:color w:val="auto"/>
              </w:rPr>
              <w:t>yield 0.00% due</w:t>
            </w:r>
          </w:p>
        </w:tc>
        <w:tc>
          <w:tcPr>
            <w:tcW w:w="920" w:type="dxa"/>
            <w:vAlign w:val="bottom"/>
            <w:gridSpan w:val="2"/>
            <w:vMerge w:val="restart"/>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KY1-1102</w:t>
            </w: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80" w:type="dxa"/>
            <w:vAlign w:val="bottom"/>
            <w:shd w:val="clear" w:color="auto" w:fill="CCEEFF"/>
          </w:tcPr>
          <w:p>
            <w:pPr>
              <w:spacing w:after="0"/>
              <w:rPr>
                <w:sz w:val="3"/>
                <w:szCs w:val="3"/>
                <w:color w:val="auto"/>
              </w:rPr>
            </w:pPr>
          </w:p>
        </w:tc>
        <w:tc>
          <w:tcPr>
            <w:tcW w:w="1980" w:type="dxa"/>
            <w:vAlign w:val="bottom"/>
            <w:gridSpan w:val="5"/>
            <w:vMerge w:val="restart"/>
            <w:shd w:val="clear" w:color="auto" w:fill="CCEEFF"/>
          </w:tcPr>
          <w:p>
            <w:pPr>
              <w:ind w:left="360"/>
              <w:spacing w:after="0" w:line="190" w:lineRule="exact"/>
              <w:rPr>
                <w:sz w:val="20"/>
                <w:szCs w:val="20"/>
                <w:color w:val="auto"/>
              </w:rPr>
            </w:pPr>
            <w:r>
              <w:rPr>
                <w:rFonts w:ascii="Times New Roman" w:cs="Times New Roman" w:eastAsia="Times New Roman" w:hAnsi="Times New Roman"/>
                <w:sz w:val="14"/>
                <w:szCs w:val="14"/>
                <w:color w:val="auto"/>
              </w:rPr>
              <w:t>March 31, 2038</w:t>
            </w:r>
            <w:r>
              <w:rPr>
                <w:rFonts w:ascii="Times New Roman" w:cs="Times New Roman" w:eastAsia="Times New Roman" w:hAnsi="Times New Roman"/>
                <w:sz w:val="21"/>
                <w:szCs w:val="21"/>
                <w:color w:val="auto"/>
                <w:vertAlign w:val="superscript"/>
              </w:rPr>
              <w:t>(9)(11)(12)</w:t>
            </w:r>
          </w:p>
        </w:tc>
        <w:tc>
          <w:tcPr>
            <w:tcW w:w="920" w:type="dxa"/>
            <w:vAlign w:val="bottom"/>
            <w:gridSpan w:val="2"/>
            <w:vMerge w:val="continue"/>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January 24,</w:t>
            </w: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80" w:type="dxa"/>
            <w:vAlign w:val="bottom"/>
            <w:shd w:val="clear" w:color="auto" w:fill="CCEEFF"/>
          </w:tcPr>
          <w:p>
            <w:pPr>
              <w:spacing w:after="0"/>
              <w:rPr>
                <w:sz w:val="12"/>
                <w:szCs w:val="12"/>
                <w:color w:val="auto"/>
              </w:rPr>
            </w:pPr>
          </w:p>
        </w:tc>
        <w:tc>
          <w:tcPr>
            <w:tcW w:w="1980" w:type="dxa"/>
            <w:vAlign w:val="bottom"/>
            <w:gridSpan w:val="5"/>
            <w:vMerge w:val="continue"/>
            <w:shd w:val="clear" w:color="auto" w:fill="CCEEFF"/>
          </w:tcPr>
          <w:p>
            <w:pPr>
              <w:spacing w:after="0"/>
              <w:rPr>
                <w:sz w:val="12"/>
                <w:szCs w:val="12"/>
                <w:color w:val="auto"/>
              </w:rPr>
            </w:pPr>
          </w:p>
        </w:tc>
        <w:tc>
          <w:tcPr>
            <w:tcW w:w="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1,906,343</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530,000</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(18)(22)(25)</w:t>
            </w: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Islands</w:t>
            </w: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860" w:type="dxa"/>
            <w:vAlign w:val="bottom"/>
            <w:tcBorders>
              <w:bottom w:val="single" w:sz="8" w:color="CCEEFF"/>
            </w:tcBorders>
            <w:gridSpan w:val="2"/>
            <w:vMerge w:val="continue"/>
            <w:shd w:val="clear" w:color="auto" w:fill="CCEEFF"/>
          </w:tcPr>
          <w:p>
            <w:pPr>
              <w:spacing w:after="0"/>
              <w:rPr>
                <w:sz w:val="17"/>
                <w:szCs w:val="17"/>
                <w:color w:val="auto"/>
              </w:rPr>
            </w:pPr>
          </w:p>
        </w:tc>
        <w:tc>
          <w:tcPr>
            <w:tcW w:w="840" w:type="dxa"/>
            <w:vAlign w:val="bottom"/>
            <w:tcBorders>
              <w:bottom w:val="single" w:sz="8" w:color="CCEEFF"/>
            </w:tcBorders>
            <w:gridSpan w:val="2"/>
            <w:vMerge w:val="continue"/>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980" w:type="dxa"/>
            <w:vAlign w:val="bottom"/>
            <w:gridSpan w:val="5"/>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Dryden 43 Senior Loan</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gridSpan w:val="5"/>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Fund</w:t>
            </w: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 MaplesFS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9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CLO subordinated notes,</w:t>
            </w: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1980" w:type="dxa"/>
            <w:vAlign w:val="bottom"/>
            <w:gridSpan w:val="5"/>
            <w:vMerge w:val="continue"/>
          </w:tcPr>
          <w:p>
            <w:pPr>
              <w:spacing w:after="0"/>
              <w:rPr>
                <w:sz w:val="8"/>
                <w:szCs w:val="8"/>
                <w:color w:val="auto"/>
              </w:rPr>
            </w:pPr>
          </w:p>
        </w:tc>
        <w:tc>
          <w:tcPr>
            <w:tcW w:w="9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9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color w:val="auto"/>
              </w:rPr>
              <w:t>estimated yield 4.23% due</w:t>
            </w:r>
          </w:p>
        </w:tc>
        <w:tc>
          <w:tcPr>
            <w:tcW w:w="9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9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KY1-1102,</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980" w:type="dxa"/>
            <w:vAlign w:val="bottom"/>
            <w:gridSpan w:val="5"/>
          </w:tcPr>
          <w:p>
            <w:pPr>
              <w:ind w:left="360"/>
              <w:spacing w:after="0" w:line="149" w:lineRule="exact"/>
              <w:rPr>
                <w:sz w:val="20"/>
                <w:szCs w:val="20"/>
                <w:color w:val="auto"/>
              </w:rPr>
            </w:pPr>
            <w:r>
              <w:rPr>
                <w:rFonts w:ascii="Times New Roman" w:cs="Times New Roman" w:eastAsia="Times New Roman" w:hAnsi="Times New Roman"/>
                <w:sz w:val="17"/>
                <w:szCs w:val="17"/>
                <w:color w:val="auto"/>
                <w:vertAlign w:val="subscript"/>
              </w:rPr>
              <w:t>April 20, 2034</w:t>
            </w:r>
            <w:r>
              <w:rPr>
                <w:rFonts w:ascii="Times New Roman" w:cs="Times New Roman" w:eastAsia="Times New Roman" w:hAnsi="Times New Roman"/>
                <w:sz w:val="8"/>
                <w:szCs w:val="8"/>
                <w:color w:val="auto"/>
              </w:rPr>
              <w:t>(9)(11)(12)(14)</w:t>
            </w:r>
          </w:p>
        </w:tc>
        <w:tc>
          <w:tcPr>
            <w:tcW w:w="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June 1, 2021</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47,263,000</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21,945,691</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9,925,230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8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(18)</w:t>
            </w: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Islands</w:t>
            </w: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Generate CLO 10, Ltd.</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 Appleby</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Global</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71 Fort Street,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98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CLO subordinated notes,</w:t>
            </w:r>
          </w:p>
        </w:tc>
        <w:tc>
          <w:tcPr>
            <w:tcW w:w="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 Box 500</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0" w:type="dxa"/>
            <w:vAlign w:val="bottom"/>
            <w:shd w:val="clear" w:color="auto" w:fill="CCEEFF"/>
          </w:tcPr>
          <w:p>
            <w:pPr>
              <w:spacing w:after="0"/>
              <w:rPr>
                <w:sz w:val="8"/>
                <w:szCs w:val="8"/>
                <w:color w:val="auto"/>
              </w:rPr>
            </w:pPr>
          </w:p>
        </w:tc>
        <w:tc>
          <w:tcPr>
            <w:tcW w:w="1980" w:type="dxa"/>
            <w:vAlign w:val="bottom"/>
            <w:gridSpan w:val="5"/>
            <w:vMerge w:val="continue"/>
            <w:shd w:val="clear" w:color="auto" w:fill="CCEEFF"/>
          </w:tcPr>
          <w:p>
            <w:pPr>
              <w:spacing w:after="0"/>
              <w:rPr>
                <w:sz w:val="8"/>
                <w:szCs w:val="8"/>
                <w:color w:val="auto"/>
              </w:rPr>
            </w:pPr>
          </w:p>
        </w:tc>
        <w:tc>
          <w:tcPr>
            <w:tcW w:w="920" w:type="dxa"/>
            <w:vAlign w:val="bottom"/>
            <w:gridSpan w:val="2"/>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Grand</w:t>
            </w: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0" w:type="dxa"/>
            <w:vAlign w:val="bottom"/>
            <w:shd w:val="clear" w:color="auto" w:fill="CCEEFF"/>
          </w:tcPr>
          <w:p>
            <w:pPr>
              <w:spacing w:after="0"/>
              <w:rPr>
                <w:sz w:val="4"/>
                <w:szCs w:val="4"/>
                <w:color w:val="auto"/>
              </w:rPr>
            </w:pPr>
          </w:p>
        </w:tc>
        <w:tc>
          <w:tcPr>
            <w:tcW w:w="1980" w:type="dxa"/>
            <w:vAlign w:val="bottom"/>
            <w:gridSpan w:val="5"/>
            <w:vMerge w:val="restart"/>
            <w:shd w:val="clear" w:color="auto" w:fill="CCEEFF"/>
          </w:tcPr>
          <w:p>
            <w:pPr>
              <w:ind w:left="360"/>
              <w:spacing w:after="0" w:line="157" w:lineRule="exact"/>
              <w:rPr>
                <w:sz w:val="20"/>
                <w:szCs w:val="20"/>
                <w:color w:val="auto"/>
              </w:rPr>
            </w:pPr>
            <w:r>
              <w:rPr>
                <w:rFonts w:ascii="Times New Roman" w:cs="Times New Roman" w:eastAsia="Times New Roman" w:hAnsi="Times New Roman"/>
                <w:sz w:val="14"/>
                <w:szCs w:val="14"/>
                <w:color w:val="auto"/>
              </w:rPr>
              <w:t>estimated yield 18.56%</w:t>
            </w:r>
          </w:p>
        </w:tc>
        <w:tc>
          <w:tcPr>
            <w:tcW w:w="920" w:type="dxa"/>
            <w:vAlign w:val="bottom"/>
            <w:gridSpan w:val="2"/>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80" w:type="dxa"/>
            <w:vAlign w:val="bottom"/>
            <w:shd w:val="clear" w:color="auto" w:fill="CCEEFF"/>
          </w:tcPr>
          <w:p>
            <w:pPr>
              <w:spacing w:after="0"/>
              <w:rPr>
                <w:sz w:val="9"/>
                <w:szCs w:val="9"/>
                <w:color w:val="auto"/>
              </w:rPr>
            </w:pPr>
          </w:p>
        </w:tc>
        <w:tc>
          <w:tcPr>
            <w:tcW w:w="1980" w:type="dxa"/>
            <w:vAlign w:val="bottom"/>
            <w:gridSpan w:val="5"/>
            <w:vMerge w:val="continue"/>
            <w:shd w:val="clear" w:color="auto" w:fill="CCEEFF"/>
          </w:tcPr>
          <w:p>
            <w:pPr>
              <w:spacing w:after="0"/>
              <w:rPr>
                <w:sz w:val="9"/>
                <w:szCs w:val="9"/>
                <w:color w:val="auto"/>
              </w:rPr>
            </w:pPr>
          </w:p>
        </w:tc>
        <w:tc>
          <w:tcPr>
            <w:tcW w:w="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Cayman KY1-</w:t>
            </w: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gridSpan w:val="5"/>
            <w:shd w:val="clear" w:color="auto" w:fill="CCEEFF"/>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(9)(11)</w:t>
            </w:r>
          </w:p>
        </w:tc>
        <w:tc>
          <w:tcPr>
            <w:tcW w:w="8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August 13,</w:t>
            </w: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0" w:type="dxa"/>
            <w:vAlign w:val="bottom"/>
            <w:shd w:val="clear" w:color="auto" w:fill="CCEEFF"/>
          </w:tcPr>
          <w:p>
            <w:pPr>
              <w:spacing w:after="0"/>
              <w:rPr>
                <w:sz w:val="7"/>
                <w:szCs w:val="7"/>
                <w:color w:val="auto"/>
              </w:rPr>
            </w:pPr>
          </w:p>
        </w:tc>
        <w:tc>
          <w:tcPr>
            <w:tcW w:w="1980" w:type="dxa"/>
            <w:vAlign w:val="bottom"/>
            <w:gridSpan w:val="5"/>
            <w:shd w:val="clear" w:color="auto" w:fill="CCEEFF"/>
          </w:tcPr>
          <w:p>
            <w:pPr>
              <w:ind w:left="360"/>
              <w:spacing w:after="0" w:line="81" w:lineRule="exact"/>
              <w:rPr>
                <w:sz w:val="20"/>
                <w:szCs w:val="20"/>
                <w:color w:val="auto"/>
              </w:rPr>
            </w:pPr>
            <w:r>
              <w:rPr>
                <w:rFonts w:ascii="Times New Roman" w:cs="Times New Roman" w:eastAsia="Times New Roman" w:hAnsi="Times New Roman"/>
                <w:sz w:val="9"/>
                <w:szCs w:val="9"/>
                <w:color w:val="auto"/>
              </w:rPr>
              <w:t>due January 22, 2038</w:t>
            </w:r>
          </w:p>
        </w:tc>
        <w:tc>
          <w:tcPr>
            <w:tcW w:w="92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1106 Cayman</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30,000,000</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21,704,094</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17,700,000</w:t>
            </w: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5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(12)(14)(18)</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Islands</w:t>
            </w: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59" w:lineRule="exact"/>
        <w:rPr>
          <w:sz w:val="20"/>
          <w:szCs w:val="20"/>
          <w:color w:val="auto"/>
        </w:rPr>
      </w:pPr>
    </w:p>
    <w:p>
      <w:pPr>
        <w:ind w:left="1000" w:right="60" w:hanging="179"/>
        <w:spacing w:after="0" w:line="264" w:lineRule="auto"/>
        <w:rPr>
          <w:sz w:val="20"/>
          <w:szCs w:val="20"/>
          <w:color w:val="auto"/>
        </w:rPr>
      </w:pPr>
      <w:r>
        <w:rPr>
          <w:rFonts w:ascii="Times New Roman" w:cs="Times New Roman" w:eastAsia="Times New Roman" w:hAnsi="Times New Roman"/>
          <w:sz w:val="14"/>
          <w:szCs w:val="14"/>
          <w:b w:val="1"/>
          <w:bCs w:val="1"/>
          <w:color w:val="auto"/>
        </w:rPr>
        <w:t>Gulf Stream Meridian 5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20" w:hanging="179"/>
        <w:spacing w:after="0" w:line="237" w:lineRule="auto"/>
        <w:rPr>
          <w:sz w:val="20"/>
          <w:szCs w:val="20"/>
          <w:color w:val="auto"/>
        </w:rPr>
      </w:pPr>
      <w:r>
        <w:rPr>
          <w:rFonts w:ascii="Times New Roman" w:cs="Times New Roman" w:eastAsia="Times New Roman" w:hAnsi="Times New Roman"/>
          <w:sz w:val="14"/>
          <w:szCs w:val="14"/>
          <w:color w:val="auto"/>
        </w:rPr>
        <w:t>CLO subordinated notes, estimated yield 15.47%</w:t>
      </w:r>
    </w:p>
    <w:p>
      <w:pPr>
        <w:ind w:left="1000"/>
        <w:spacing w:after="0" w:line="207" w:lineRule="auto"/>
        <w:rPr>
          <w:sz w:val="20"/>
          <w:szCs w:val="20"/>
          <w:color w:val="auto"/>
        </w:rPr>
      </w:pPr>
      <w:r>
        <w:rPr>
          <w:rFonts w:ascii="Times New Roman" w:cs="Times New Roman" w:eastAsia="Times New Roman" w:hAnsi="Times New Roman"/>
          <w:sz w:val="13"/>
          <w:szCs w:val="13"/>
          <w:color w:val="auto"/>
        </w:rPr>
        <w:t>due October 15, 2039</w:t>
      </w:r>
      <w:r>
        <w:rPr>
          <w:rFonts w:ascii="Times New Roman" w:cs="Times New Roman" w:eastAsia="Times New Roman" w:hAnsi="Times New Roman"/>
          <w:sz w:val="19"/>
          <w:szCs w:val="19"/>
          <w:color w:val="auto"/>
          <w:vertAlign w:val="superscript"/>
        </w:rPr>
        <w:t>(9)</w:t>
      </w:r>
    </w:p>
    <w:p>
      <w:pPr>
        <w:spacing w:after="0" w:line="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1"/>
          <w:szCs w:val="11"/>
          <w:color w:val="auto"/>
        </w:rPr>
        <w:t>(11)(12)(18)(22)</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Walkers</w:t>
            </w: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Fiduciary</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 190</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Elgin Avenue</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George Town</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KY1-9008</w:t>
            </w:r>
          </w:p>
        </w:tc>
        <w:tc>
          <w:tcPr>
            <w:tcW w:w="7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November 15,</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9.9%</w:t>
            </w:r>
          </w:p>
        </w:tc>
        <w:tc>
          <w:tcPr>
            <w:tcW w:w="1160" w:type="dxa"/>
            <w:vAlign w:val="bottom"/>
            <w:vMerge w:val="continue"/>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6,625,000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3,487,610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2,713,271</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00" w:type="dxa"/>
            <w:vAlign w:val="bottom"/>
            <w:vMerge w:val="continue"/>
          </w:tcPr>
          <w:p>
            <w:pPr>
              <w:spacing w:after="0"/>
              <w:rPr>
                <w:sz w:val="16"/>
                <w:szCs w:val="16"/>
                <w:color w:val="auto"/>
              </w:rPr>
            </w:pPr>
          </w:p>
        </w:tc>
        <w:tc>
          <w:tcPr>
            <w:tcW w:w="116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-1374775</wp:posOffset>
            </wp:positionH>
            <wp:positionV relativeFrom="paragraph">
              <wp:posOffset>-1167130</wp:posOffset>
            </wp:positionV>
            <wp:extent cx="514350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5143500" cy="21463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360" w:space="260"/>
            <w:col w:w="639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940" w:type="dxa"/>
            <w:vAlign w:val="bottom"/>
          </w:tcPr>
          <w:p>
            <w:pPr>
              <w:spacing w:after="0"/>
              <w:rPr>
                <w:sz w:val="13"/>
                <w:szCs w:val="13"/>
                <w:color w:val="auto"/>
              </w:rPr>
            </w:pPr>
          </w:p>
        </w:tc>
        <w:tc>
          <w:tcPr>
            <w:tcW w:w="106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4"/>
              </w:rPr>
              <w:t>PORTFOLIO</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106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COMPANY</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9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7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w:t>
            </w:r>
          </w:p>
        </w:tc>
        <w:tc>
          <w:tcPr>
            <w:tcW w:w="580" w:type="dxa"/>
            <w:vAlign w:val="bottom"/>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90"/>
        </w:trPr>
        <w:tc>
          <w:tcPr>
            <w:tcW w:w="1940" w:type="dxa"/>
            <w:vAlign w:val="bottom"/>
            <w:vMerge w:val="continue"/>
          </w:tcPr>
          <w:p>
            <w:pPr>
              <w:spacing w:after="0"/>
              <w:rPr>
                <w:sz w:val="16"/>
                <w:szCs w:val="16"/>
                <w:color w:val="auto"/>
              </w:rPr>
            </w:pPr>
          </w:p>
        </w:tc>
        <w:tc>
          <w:tcPr>
            <w:tcW w:w="106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5"/>
              </w:rPr>
              <w:t>ADDRESS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AMOUNT</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6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4"/>
                <w:szCs w:val="14"/>
                <w:b w:val="1"/>
                <w:bCs w:val="1"/>
                <w:color w:val="auto"/>
                <w:w w:val="88"/>
                <w:vertAlign w:val="superscript"/>
              </w:rPr>
              <w:t>(2)</w:t>
            </w:r>
          </w:p>
        </w:tc>
        <w:tc>
          <w:tcPr>
            <w:tcW w:w="58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Collateralized Loan</w:t>
      </w:r>
    </w:p>
    <w:p>
      <w:pPr>
        <w:ind w:left="640"/>
        <w:spacing w:after="0" w:line="229" w:lineRule="auto"/>
        <w:rPr>
          <w:sz w:val="20"/>
          <w:szCs w:val="20"/>
          <w:color w:val="auto"/>
        </w:rPr>
      </w:pPr>
      <w:r>
        <w:rPr>
          <w:rFonts w:ascii="Times New Roman" w:cs="Times New Roman" w:eastAsia="Times New Roman" w:hAnsi="Times New Roman"/>
          <w:sz w:val="14"/>
          <w:szCs w:val="14"/>
          <w:b w:val="1"/>
          <w:bCs w:val="1"/>
          <w:u w:val="single" w:color="auto"/>
          <w:color w:val="auto"/>
        </w:rPr>
        <w:t>Obligation – Equity</w:t>
      </w: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Investments – (continued)</w:t>
      </w:r>
    </w:p>
    <w:p>
      <w:pPr>
        <w:spacing w:after="0" w:line="11" w:lineRule="exact"/>
        <w:rPr>
          <w:sz w:val="20"/>
          <w:szCs w:val="20"/>
          <w:color w:val="auto"/>
        </w:rPr>
      </w:pPr>
    </w:p>
    <w:p>
      <w:pPr>
        <w:ind w:left="1000" w:right="100" w:hanging="179"/>
        <w:spacing w:after="0" w:line="263" w:lineRule="auto"/>
        <w:rPr>
          <w:sz w:val="20"/>
          <w:szCs w:val="20"/>
          <w:color w:val="auto"/>
        </w:rPr>
      </w:pPr>
      <w:r>
        <w:rPr>
          <w:rFonts w:ascii="Times New Roman" w:cs="Times New Roman" w:eastAsia="Times New Roman" w:hAnsi="Times New Roman"/>
          <w:sz w:val="14"/>
          <w:szCs w:val="14"/>
          <w:b w:val="1"/>
          <w:bCs w:val="1"/>
          <w:color w:val="auto"/>
        </w:rPr>
        <w:t>Madison Park Funding XVIII,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left="820" w:right="80"/>
        <w:spacing w:after="0" w:line="237" w:lineRule="auto"/>
        <w:rPr>
          <w:sz w:val="20"/>
          <w:szCs w:val="20"/>
          <w:color w:val="auto"/>
        </w:rPr>
      </w:pPr>
      <w:r>
        <w:rPr>
          <w:rFonts w:ascii="Times New Roman" w:cs="Times New Roman" w:eastAsia="Times New Roman" w:hAnsi="Times New Roman"/>
          <w:sz w:val="14"/>
          <w:szCs w:val="14"/>
          <w:color w:val="auto"/>
        </w:rPr>
        <w:t>CLO subordinated notes, estimated yield 0.00%</w:t>
      </w:r>
    </w:p>
    <w:p>
      <w:pPr>
        <w:ind w:left="1000"/>
        <w:spacing w:after="0" w:line="207" w:lineRule="auto"/>
        <w:rPr>
          <w:sz w:val="20"/>
          <w:szCs w:val="20"/>
          <w:color w:val="auto"/>
        </w:rPr>
      </w:pPr>
      <w:r>
        <w:rPr>
          <w:rFonts w:ascii="Times New Roman" w:cs="Times New Roman" w:eastAsia="Times New Roman" w:hAnsi="Times New Roman"/>
          <w:sz w:val="13"/>
          <w:szCs w:val="13"/>
          <w:color w:val="auto"/>
        </w:rPr>
        <w:t>due October 21, 2030</w:t>
      </w:r>
      <w:r>
        <w:rPr>
          <w:rFonts w:ascii="Times New Roman" w:cs="Times New Roman" w:eastAsia="Times New Roman" w:hAnsi="Times New Roman"/>
          <w:sz w:val="19"/>
          <w:szCs w:val="19"/>
          <w:color w:val="auto"/>
          <w:vertAlign w:val="superscript"/>
        </w:rPr>
        <w:t>(9)</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(11)(12)(15)(18)(22)(25)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c/o Appleby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(Cayman)</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Ltd.,</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Clifton House,</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75 Fort Street,</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 1350,</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 Cayman</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KY1-1108,</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15.6%</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May 22, 2020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$ 12,500,000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1,419,879</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603,750</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-953135</wp:posOffset>
            </wp:positionV>
            <wp:extent cx="5143500" cy="968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5143500" cy="96837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-1484630</wp:posOffset>
            </wp:positionV>
            <wp:extent cx="5143500" cy="317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514350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180"/>
            <w:col w:w="6479"/>
          </w:cols>
          <w:pgMar w:left="1440" w:top="270" w:right="1440" w:bottom="1440" w:gutter="0" w:footer="0" w:header="0"/>
          <w:type w:val="continuous"/>
        </w:sectPr>
      </w:pPr>
    </w:p>
    <w:p>
      <w:pPr>
        <w:spacing w:after="0" w:line="82" w:lineRule="exact"/>
        <w:rPr>
          <w:sz w:val="20"/>
          <w:szCs w:val="20"/>
          <w:color w:val="auto"/>
        </w:rPr>
      </w:pPr>
    </w:p>
    <w:p>
      <w:pPr>
        <w:ind w:left="1000" w:right="220" w:hanging="179"/>
        <w:spacing w:after="0" w:line="264" w:lineRule="auto"/>
        <w:rPr>
          <w:sz w:val="20"/>
          <w:szCs w:val="20"/>
          <w:color w:val="auto"/>
        </w:rPr>
      </w:pPr>
      <w:r>
        <w:rPr>
          <w:rFonts w:ascii="Times New Roman" w:cs="Times New Roman" w:eastAsia="Times New Roman" w:hAnsi="Times New Roman"/>
          <w:sz w:val="14"/>
          <w:szCs w:val="14"/>
          <w:b w:val="1"/>
          <w:bCs w:val="1"/>
          <w:color w:val="auto"/>
        </w:rPr>
        <w:t>Madison Park Funding XIX,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20" w:hanging="179"/>
        <w:spacing w:after="0" w:line="237" w:lineRule="auto"/>
        <w:rPr>
          <w:sz w:val="20"/>
          <w:szCs w:val="20"/>
          <w:color w:val="auto"/>
        </w:rPr>
      </w:pPr>
      <w:r>
        <w:rPr>
          <w:rFonts w:ascii="Times New Roman" w:cs="Times New Roman" w:eastAsia="Times New Roman" w:hAnsi="Times New Roman"/>
          <w:sz w:val="14"/>
          <w:szCs w:val="14"/>
          <w:color w:val="auto"/>
        </w:rPr>
        <w:t>CLO subordinated notes, estimated yield 11.19%</w:t>
      </w:r>
    </w:p>
    <w:p>
      <w:pPr>
        <w:ind w:left="1000"/>
        <w:spacing w:after="0" w:line="197" w:lineRule="auto"/>
        <w:rPr>
          <w:sz w:val="20"/>
          <w:szCs w:val="20"/>
          <w:color w:val="auto"/>
        </w:rPr>
      </w:pPr>
      <w:r>
        <w:rPr>
          <w:rFonts w:ascii="Times New Roman" w:cs="Times New Roman" w:eastAsia="Times New Roman" w:hAnsi="Times New Roman"/>
          <w:sz w:val="14"/>
          <w:szCs w:val="14"/>
          <w:color w:val="auto"/>
        </w:rPr>
        <w:t>due January 22, 2037</w:t>
      </w:r>
      <w:r>
        <w:rPr>
          <w:rFonts w:ascii="Times New Roman" w:cs="Times New Roman" w:eastAsia="Times New Roman" w:hAnsi="Times New Roman"/>
          <w:sz w:val="20"/>
          <w:szCs w:val="20"/>
          <w:color w:val="auto"/>
          <w:vertAlign w:val="superscript"/>
        </w:rPr>
        <w:t>(9)</w:t>
      </w:r>
    </w:p>
    <w:p>
      <w:pPr>
        <w:ind w:left="1000"/>
        <w:spacing w:after="0"/>
        <w:rPr>
          <w:sz w:val="20"/>
          <w:szCs w:val="20"/>
          <w:color w:val="auto"/>
        </w:rPr>
      </w:pPr>
      <w:r>
        <w:rPr>
          <w:rFonts w:ascii="Times New Roman" w:cs="Times New Roman" w:eastAsia="Times New Roman" w:hAnsi="Times New Roman"/>
          <w:sz w:val="11"/>
          <w:szCs w:val="11"/>
          <w:color w:val="auto"/>
        </w:rPr>
        <w:t>(11)(12)(18)(22)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c/o Appleby</w:t>
            </w: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(Cayman)</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Ltd., Clifton</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House, 75 Fort</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 1350,</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 Cayman</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KY1-1108,</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11.9%</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May 11, 2016</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5,422,500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2,386,298</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1,789,425</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-1167765</wp:posOffset>
            </wp:positionV>
            <wp:extent cx="514350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14605</wp:posOffset>
            </wp:positionV>
            <wp:extent cx="514350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180"/>
            <w:col w:w="6479"/>
          </w:cols>
          <w:pgMar w:left="1440" w:top="270" w:right="1440" w:bottom="1440" w:gutter="0" w:footer="0" w:header="0"/>
          <w:type w:val="continuous"/>
        </w:sectPr>
      </w:pP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OCP CLO 2024-37, Ltd.</w:t>
      </w: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 Box 536,</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00" w:type="dxa"/>
            <w:vAlign w:val="bottom"/>
            <w:vMerge w:val="continue"/>
            <w:shd w:val="clear" w:color="auto" w:fill="CCEEFF"/>
          </w:tcPr>
          <w:p>
            <w:pPr>
              <w:spacing w:after="0"/>
              <w:rPr>
                <w:sz w:val="8"/>
                <w:szCs w:val="8"/>
                <w:color w:val="auto"/>
              </w:rPr>
            </w:pPr>
          </w:p>
        </w:tc>
        <w:tc>
          <w:tcPr>
            <w:tcW w:w="1080" w:type="dxa"/>
            <w:vAlign w:val="bottom"/>
            <w:vMerge w:val="restart"/>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8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0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estimated yield 13.01%</w:t>
            </w:r>
          </w:p>
        </w:tc>
        <w:tc>
          <w:tcPr>
            <w:tcW w:w="108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3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00" w:type="dxa"/>
            <w:vAlign w:val="bottom"/>
            <w:vMerge w:val="continue"/>
            <w:shd w:val="clear" w:color="auto" w:fill="CCEEFF"/>
          </w:tcPr>
          <w:p>
            <w:pPr>
              <w:spacing w:after="0"/>
              <w:rPr>
                <w:sz w:val="9"/>
                <w:szCs w:val="9"/>
                <w:color w:val="auto"/>
              </w:rPr>
            </w:pPr>
          </w:p>
        </w:tc>
        <w:tc>
          <w:tcPr>
            <w:tcW w:w="1080" w:type="dxa"/>
            <w:vAlign w:val="bottom"/>
            <w:vMerge w:val="restart"/>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Esplanade St</w:t>
            </w:r>
          </w:p>
        </w:tc>
        <w:tc>
          <w:tcPr>
            <w:tcW w:w="8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00" w:type="dxa"/>
            <w:vAlign w:val="bottom"/>
            <w:vMerge w:val="restart"/>
            <w:shd w:val="clear" w:color="auto" w:fill="CCEEFF"/>
          </w:tcPr>
          <w:p>
            <w:pPr>
              <w:ind w:left="540"/>
              <w:spacing w:after="0" w:line="190" w:lineRule="exact"/>
              <w:rPr>
                <w:sz w:val="20"/>
                <w:szCs w:val="20"/>
                <w:color w:val="auto"/>
              </w:rPr>
            </w:pPr>
            <w:r>
              <w:rPr>
                <w:rFonts w:ascii="Times New Roman" w:cs="Times New Roman" w:eastAsia="Times New Roman" w:hAnsi="Times New Roman"/>
                <w:sz w:val="14"/>
                <w:szCs w:val="14"/>
                <w:color w:val="auto"/>
              </w:rPr>
              <w:t>due October 15, 2037</w:t>
            </w:r>
            <w:r>
              <w:rPr>
                <w:rFonts w:ascii="Times New Roman" w:cs="Times New Roman" w:eastAsia="Times New Roman" w:hAnsi="Times New Roman"/>
                <w:sz w:val="21"/>
                <w:szCs w:val="21"/>
                <w:color w:val="auto"/>
                <w:vertAlign w:val="superscript"/>
              </w:rPr>
              <w:t>(9)</w:t>
            </w:r>
          </w:p>
        </w:tc>
        <w:tc>
          <w:tcPr>
            <w:tcW w:w="1080" w:type="dxa"/>
            <w:vAlign w:val="bottom"/>
            <w:vMerge w:val="continue"/>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1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September 27,</w:t>
            </w:r>
          </w:p>
        </w:tc>
        <w:tc>
          <w:tcPr>
            <w:tcW w:w="3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00" w:type="dxa"/>
            <w:vAlign w:val="bottom"/>
            <w:vMerge w:val="continue"/>
            <w:shd w:val="clear" w:color="auto" w:fill="CCEEFF"/>
          </w:tcPr>
          <w:p>
            <w:pPr>
              <w:spacing w:after="0"/>
              <w:rPr>
                <w:sz w:val="12"/>
                <w:szCs w:val="12"/>
                <w:color w:val="auto"/>
              </w:rPr>
            </w:pPr>
          </w:p>
        </w:tc>
        <w:tc>
          <w:tcPr>
            <w:tcW w:w="108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Helier, JE4</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42.9%</w:t>
            </w:r>
          </w:p>
        </w:tc>
        <w:tc>
          <w:tcPr>
            <w:tcW w:w="1120" w:type="dxa"/>
            <w:vAlign w:val="bottom"/>
            <w:vMerge w:val="continue"/>
            <w:shd w:val="clear" w:color="auto" w:fill="CCEEFF"/>
          </w:tcPr>
          <w:p>
            <w:pPr>
              <w:spacing w:after="0"/>
              <w:rPr>
                <w:sz w:val="12"/>
                <w:szCs w:val="12"/>
                <w:color w:val="auto"/>
              </w:rPr>
            </w:pPr>
          </w:p>
        </w:tc>
        <w:tc>
          <w:tcPr>
            <w:tcW w:w="310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27,035,000   24,028,836   18,113,450</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(11)(12)(14)(18)(22)</w:t>
            </w:r>
          </w:p>
        </w:tc>
        <w:tc>
          <w:tcPr>
            <w:tcW w:w="1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5UR Jersey</w:t>
            </w:r>
          </w:p>
        </w:tc>
        <w:tc>
          <w:tcPr>
            <w:tcW w:w="800" w:type="dxa"/>
            <w:vAlign w:val="bottom"/>
            <w:vMerge w:val="continue"/>
            <w:shd w:val="clear" w:color="auto" w:fill="CCEEFF"/>
          </w:tcPr>
          <w:p>
            <w:pPr>
              <w:spacing w:after="0"/>
              <w:rPr>
                <w:sz w:val="16"/>
                <w:szCs w:val="16"/>
                <w:color w:val="auto"/>
              </w:rPr>
            </w:pPr>
          </w:p>
        </w:tc>
        <w:tc>
          <w:tcPr>
            <w:tcW w:w="11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3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5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Octagon Investment</w:t>
      </w:r>
    </w:p>
    <w:p>
      <w:pPr>
        <w:spacing w:after="0" w:line="6"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Partners 49, Ltd.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6.21% due April 15, 2037</w:t>
      </w:r>
      <w:r>
        <w:rPr>
          <w:rFonts w:ascii="Times New Roman" w:cs="Times New Roman" w:eastAsia="Times New Roman" w:hAnsi="Times New Roman"/>
          <w:sz w:val="19"/>
          <w:szCs w:val="19"/>
          <w:color w:val="auto"/>
          <w:vertAlign w:val="superscript"/>
        </w:rPr>
        <w:t>(9)(11)</w:t>
      </w:r>
    </w:p>
    <w:p>
      <w:pPr>
        <w:ind w:left="1000"/>
        <w:spacing w:after="0"/>
        <w:rPr>
          <w:sz w:val="20"/>
          <w:szCs w:val="20"/>
          <w:color w:val="auto"/>
        </w:rPr>
      </w:pPr>
      <w:r>
        <w:rPr>
          <w:rFonts w:ascii="Times New Roman" w:cs="Times New Roman" w:eastAsia="Times New Roman" w:hAnsi="Times New Roman"/>
          <w:sz w:val="11"/>
          <w:szCs w:val="11"/>
          <w:color w:val="auto"/>
        </w:rPr>
        <w:t>(12)(13)(14)(18)(24)</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 Hall,</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Cricket Square,</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 Cayman,</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40" w:type="dxa"/>
            <w:vAlign w:val="bottom"/>
          </w:tcPr>
          <w:p>
            <w:pPr>
              <w:spacing w:after="0"/>
              <w:rPr>
                <w:sz w:val="12"/>
                <w:szCs w:val="12"/>
                <w:color w:val="auto"/>
              </w:rPr>
            </w:pPr>
          </w:p>
        </w:tc>
        <w:tc>
          <w:tcPr>
            <w:tcW w:w="10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December 11,</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50.2%</w:t>
            </w:r>
          </w:p>
        </w:tc>
        <w:tc>
          <w:tcPr>
            <w:tcW w:w="1080" w:type="dxa"/>
            <w:vAlign w:val="bottom"/>
            <w:vMerge w:val="continue"/>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26,375,000</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15,732,561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7,670,797</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40" w:type="dxa"/>
            <w:vAlign w:val="bottom"/>
            <w:vMerge w:val="continue"/>
          </w:tcPr>
          <w:p>
            <w:pPr>
              <w:spacing w:after="0"/>
              <w:rPr>
                <w:sz w:val="16"/>
                <w:szCs w:val="16"/>
                <w:color w:val="auto"/>
              </w:rPr>
            </w:pPr>
          </w:p>
        </w:tc>
        <w:tc>
          <w:tcPr>
            <w:tcW w:w="10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2020</w:t>
            </w:r>
          </w:p>
        </w:tc>
        <w:tc>
          <w:tcPr>
            <w:tcW w:w="8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-1073150</wp:posOffset>
            </wp:positionV>
            <wp:extent cx="514350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14605</wp:posOffset>
            </wp:positionV>
            <wp:extent cx="514350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160"/>
            <w:col w:w="6479"/>
          </w:cols>
          <w:pgMar w:left="1440" w:top="270" w:right="1440" w:bottom="1440" w:gutter="0" w:footer="0" w:header="0"/>
          <w:type w:val="continuous"/>
        </w:sectPr>
      </w:pP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Reese Park CLO, Ltd.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0" w:right="20" w:hanging="179"/>
        <w:spacing w:after="0" w:line="237" w:lineRule="auto"/>
        <w:rPr>
          <w:sz w:val="20"/>
          <w:szCs w:val="20"/>
          <w:color w:val="auto"/>
        </w:rPr>
      </w:pPr>
      <w:r>
        <w:rPr>
          <w:rFonts w:ascii="Times New Roman" w:cs="Times New Roman" w:eastAsia="Times New Roman" w:hAnsi="Times New Roman"/>
          <w:sz w:val="14"/>
          <w:szCs w:val="14"/>
          <w:color w:val="auto"/>
        </w:rPr>
        <w:t>CLO subordinated notes, estimated yield 17.42%</w:t>
      </w:r>
    </w:p>
    <w:p>
      <w:pPr>
        <w:ind w:left="1000"/>
        <w:spacing w:after="0" w:line="197" w:lineRule="auto"/>
        <w:rPr>
          <w:sz w:val="20"/>
          <w:szCs w:val="20"/>
          <w:color w:val="auto"/>
        </w:rPr>
      </w:pPr>
      <w:r>
        <w:rPr>
          <w:rFonts w:ascii="Times New Roman" w:cs="Times New Roman" w:eastAsia="Times New Roman" w:hAnsi="Times New Roman"/>
          <w:sz w:val="14"/>
          <w:szCs w:val="14"/>
          <w:color w:val="auto"/>
        </w:rPr>
        <w:t>due January 15, 2038</w:t>
      </w:r>
      <w:r>
        <w:rPr>
          <w:rFonts w:ascii="Times New Roman" w:cs="Times New Roman" w:eastAsia="Times New Roman" w:hAnsi="Times New Roman"/>
          <w:sz w:val="20"/>
          <w:szCs w:val="20"/>
          <w:color w:val="auto"/>
          <w:vertAlign w:val="superscript"/>
        </w:rPr>
        <w:t>(9)</w:t>
      </w:r>
    </w:p>
    <w:p>
      <w:pPr>
        <w:ind w:left="1000"/>
        <w:spacing w:after="0"/>
        <w:rPr>
          <w:sz w:val="20"/>
          <w:szCs w:val="20"/>
          <w:color w:val="auto"/>
        </w:rPr>
      </w:pPr>
      <w:r>
        <w:rPr>
          <w:rFonts w:ascii="Times New Roman" w:cs="Times New Roman" w:eastAsia="Times New Roman" w:hAnsi="Times New Roman"/>
          <w:sz w:val="11"/>
          <w:szCs w:val="11"/>
          <w:color w:val="auto"/>
        </w:rPr>
        <w:t>(11)(12)(18)(22)</w:t>
      </w:r>
    </w:p>
    <w:p>
      <w:pPr>
        <w:spacing w:after="0" w:line="55" w:lineRule="exact"/>
        <w:rPr>
          <w:sz w:val="20"/>
          <w:szCs w:val="20"/>
          <w:color w:val="auto"/>
        </w:rPr>
      </w:pPr>
    </w:p>
    <w:p>
      <w:pPr>
        <w:ind w:left="1000" w:right="40" w:hanging="179"/>
        <w:spacing w:after="0" w:line="237" w:lineRule="auto"/>
        <w:rPr>
          <w:sz w:val="20"/>
          <w:szCs w:val="20"/>
          <w:color w:val="auto"/>
        </w:rPr>
      </w:pPr>
      <w:r>
        <w:rPr>
          <w:rFonts w:ascii="Times New Roman" w:cs="Times New Roman" w:eastAsia="Times New Roman" w:hAnsi="Times New Roman"/>
          <w:sz w:val="14"/>
          <w:szCs w:val="14"/>
          <w:color w:val="auto"/>
        </w:rPr>
        <w:t>CLO subordinated M2 fee notes, due January 15,</w:t>
      </w:r>
    </w:p>
    <w:p>
      <w:pPr>
        <w:ind w:left="1000"/>
        <w:spacing w:after="0" w:line="180" w:lineRule="auto"/>
        <w:rPr>
          <w:sz w:val="20"/>
          <w:szCs w:val="20"/>
          <w:color w:val="auto"/>
        </w:rPr>
      </w:pPr>
      <w:r>
        <w:rPr>
          <w:rFonts w:ascii="Times New Roman" w:cs="Times New Roman" w:eastAsia="Times New Roman" w:hAnsi="Times New Roman"/>
          <w:sz w:val="24"/>
          <w:szCs w:val="24"/>
          <w:color w:val="auto"/>
          <w:vertAlign w:val="subscript"/>
        </w:rPr>
        <w:t>2038</w:t>
      </w:r>
      <w:r>
        <w:rPr>
          <w:rFonts w:ascii="Times New Roman" w:cs="Times New Roman" w:eastAsia="Times New Roman" w:hAnsi="Times New Roman"/>
          <w:sz w:val="10"/>
          <w:szCs w:val="10"/>
          <w:color w:val="auto"/>
        </w:rPr>
        <w:t>(11)(12)(13)(22)(24)</w:t>
      </w:r>
    </w:p>
    <w:p>
      <w:pPr>
        <w:spacing w:after="0" w:line="283" w:lineRule="exact"/>
        <w:rPr>
          <w:sz w:val="20"/>
          <w:szCs w:val="20"/>
          <w:color w:val="auto"/>
        </w:rPr>
      </w:pPr>
    </w:p>
    <w:p>
      <w:pPr>
        <w:ind w:left="1000" w:right="100" w:hanging="179"/>
        <w:spacing w:after="0" w:line="264" w:lineRule="auto"/>
        <w:rPr>
          <w:sz w:val="20"/>
          <w:szCs w:val="20"/>
          <w:color w:val="auto"/>
        </w:rPr>
      </w:pPr>
      <w:r>
        <w:rPr>
          <w:rFonts w:ascii="Times New Roman" w:cs="Times New Roman" w:eastAsia="Times New Roman" w:hAnsi="Times New Roman"/>
          <w:sz w:val="14"/>
          <w:szCs w:val="14"/>
          <w:b w:val="1"/>
          <w:bCs w:val="1"/>
          <w:color w:val="auto"/>
        </w:rPr>
        <w:t>Sound Point CLO XVI, Ltd.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 PO</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Box 1093</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 Hall,</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Cricket Square</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Grand Cayman,</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80" w:type="dxa"/>
            <w:vAlign w:val="bottom"/>
          </w:tcPr>
          <w:p>
            <w:pPr>
              <w:spacing w:after="0"/>
              <w:rPr>
                <w:sz w:val="12"/>
                <w:szCs w:val="12"/>
                <w:color w:val="auto"/>
              </w:rPr>
            </w:pPr>
          </w:p>
        </w:tc>
        <w:tc>
          <w:tcPr>
            <w:tcW w:w="10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August 13,</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29.1%</w:t>
            </w:r>
          </w:p>
        </w:tc>
        <w:tc>
          <w:tcPr>
            <w:tcW w:w="1000" w:type="dxa"/>
            <w:vAlign w:val="bottom"/>
            <w:vMerge w:val="continue"/>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16,160,000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8,497,742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6,625,600</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80" w:type="dxa"/>
            <w:vAlign w:val="bottom"/>
            <w:vMerge w:val="continue"/>
          </w:tcPr>
          <w:p>
            <w:pPr>
              <w:spacing w:after="0"/>
              <w:rPr>
                <w:sz w:val="16"/>
                <w:szCs w:val="16"/>
                <w:color w:val="auto"/>
              </w:rPr>
            </w:pP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31.8%</w:t>
            </w: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August 13,</w:t>
            </w: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21,008,000</w:t>
            </w: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580,842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552,841</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-1193165</wp:posOffset>
            </wp:positionV>
            <wp:extent cx="5143500" cy="874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143500" cy="87439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14605</wp:posOffset>
            </wp:positionV>
            <wp:extent cx="514350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37" w:lineRule="exact"/>
        <w:rPr>
          <w:sz w:val="20"/>
          <w:szCs w:val="20"/>
          <w:color w:val="auto"/>
        </w:rPr>
      </w:pPr>
    </w:p>
    <w:p>
      <w:pPr>
        <w:sectPr>
          <w:pgSz w:w="11900" w:h="16838" w:orient="portrait"/>
          <w:cols w:equalWidth="0" w:num="2">
            <w:col w:w="2360" w:space="180"/>
            <w:col w:w="647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134"/>
        </w:trPr>
        <w:tc>
          <w:tcPr>
            <w:tcW w:w="1980" w:type="dxa"/>
            <w:vAlign w:val="bottom"/>
            <w:shd w:val="clear" w:color="auto" w:fill="CCEEFF"/>
          </w:tcPr>
          <w:p>
            <w:pPr>
              <w:spacing w:after="0"/>
              <w:rPr>
                <w:sz w:val="11"/>
                <w:szCs w:val="11"/>
                <w:color w:val="auto"/>
              </w:rPr>
            </w:pPr>
          </w:p>
        </w:tc>
        <w:tc>
          <w:tcPr>
            <w:tcW w:w="118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4"/>
                <w:szCs w:val="14"/>
                <w:color w:val="auto"/>
              </w:rPr>
              <w:t>c/o MaplesFS</w:t>
            </w: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P.O. Box 1093</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rPr>
                <w:sz w:val="12"/>
                <w:szCs w:val="12"/>
                <w:color w:val="auto"/>
              </w:rPr>
            </w:pPr>
          </w:p>
        </w:tc>
        <w:tc>
          <w:tcPr>
            <w:tcW w:w="1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Boundary Hall</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CLO subordinated notes,</w:t>
            </w:r>
          </w:p>
        </w:tc>
        <w:tc>
          <w:tcPr>
            <w:tcW w:w="1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Cricket Square</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80" w:type="dxa"/>
            <w:vAlign w:val="bottom"/>
            <w:vMerge w:val="continue"/>
            <w:shd w:val="clear" w:color="auto" w:fill="CCEEFF"/>
          </w:tcPr>
          <w:p>
            <w:pPr>
              <w:spacing w:after="0"/>
              <w:rPr>
                <w:sz w:val="8"/>
                <w:szCs w:val="8"/>
                <w:color w:val="auto"/>
              </w:rPr>
            </w:pPr>
          </w:p>
        </w:tc>
        <w:tc>
          <w:tcPr>
            <w:tcW w:w="1180" w:type="dxa"/>
            <w:vAlign w:val="bottom"/>
            <w:vMerge w:val="restart"/>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Grand Cayman,</w:t>
            </w:r>
          </w:p>
        </w:tc>
        <w:tc>
          <w:tcPr>
            <w:tcW w:w="8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980" w:type="dxa"/>
            <w:vAlign w:val="bottom"/>
            <w:vMerge w:val="restart"/>
            <w:shd w:val="clear" w:color="auto" w:fill="CCEEFF"/>
          </w:tcPr>
          <w:p>
            <w:pPr>
              <w:ind w:left="540"/>
              <w:spacing w:after="0" w:line="157" w:lineRule="exact"/>
              <w:rPr>
                <w:sz w:val="20"/>
                <w:szCs w:val="20"/>
                <w:color w:val="auto"/>
              </w:rPr>
            </w:pPr>
            <w:r>
              <w:rPr>
                <w:rFonts w:ascii="Times New Roman" w:cs="Times New Roman" w:eastAsia="Times New Roman" w:hAnsi="Times New Roman"/>
                <w:sz w:val="14"/>
                <w:szCs w:val="14"/>
                <w:color w:val="auto"/>
              </w:rPr>
              <w:t>estimated yield 0.00%</w:t>
            </w:r>
          </w:p>
        </w:tc>
        <w:tc>
          <w:tcPr>
            <w:tcW w:w="118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980" w:type="dxa"/>
            <w:vAlign w:val="bottom"/>
            <w:vMerge w:val="continue"/>
            <w:shd w:val="clear" w:color="auto" w:fill="CCEEFF"/>
          </w:tcPr>
          <w:p>
            <w:pPr>
              <w:spacing w:after="0"/>
              <w:rPr>
                <w:sz w:val="9"/>
                <w:szCs w:val="9"/>
                <w:color w:val="auto"/>
              </w:rPr>
            </w:pPr>
          </w:p>
        </w:tc>
        <w:tc>
          <w:tcPr>
            <w:tcW w:w="1180" w:type="dxa"/>
            <w:vAlign w:val="bottom"/>
            <w:vMerge w:val="restart"/>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8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980" w:type="dxa"/>
            <w:vAlign w:val="bottom"/>
            <w:vMerge w:val="restart"/>
            <w:shd w:val="clear" w:color="auto" w:fill="CCEEFF"/>
          </w:tcPr>
          <w:p>
            <w:pPr>
              <w:ind w:left="540"/>
              <w:spacing w:after="0" w:line="190" w:lineRule="exact"/>
              <w:rPr>
                <w:sz w:val="20"/>
                <w:szCs w:val="20"/>
                <w:color w:val="auto"/>
              </w:rPr>
            </w:pPr>
            <w:r>
              <w:rPr>
                <w:rFonts w:ascii="Times New Roman" w:cs="Times New Roman" w:eastAsia="Times New Roman" w:hAnsi="Times New Roman"/>
                <w:sz w:val="14"/>
                <w:szCs w:val="14"/>
                <w:color w:val="auto"/>
              </w:rPr>
              <w:t>due July 25, 2030</w:t>
            </w:r>
            <w:r>
              <w:rPr>
                <w:rFonts w:ascii="Times New Roman" w:cs="Times New Roman" w:eastAsia="Times New Roman" w:hAnsi="Times New Roman"/>
                <w:sz w:val="21"/>
                <w:szCs w:val="21"/>
                <w:color w:val="auto"/>
                <w:vertAlign w:val="superscript"/>
              </w:rPr>
              <w:t>(9)(11)</w:t>
            </w:r>
          </w:p>
        </w:tc>
        <w:tc>
          <w:tcPr>
            <w:tcW w:w="1180" w:type="dxa"/>
            <w:vAlign w:val="bottom"/>
            <w:vMerge w:val="continue"/>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6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August 1,</w:t>
            </w:r>
          </w:p>
        </w:tc>
        <w:tc>
          <w:tcPr>
            <w:tcW w:w="19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980" w:type="dxa"/>
            <w:vAlign w:val="bottom"/>
            <w:vMerge w:val="continue"/>
            <w:shd w:val="clear" w:color="auto" w:fill="CCEEFF"/>
          </w:tcPr>
          <w:p>
            <w:pPr>
              <w:spacing w:after="0"/>
              <w:rPr>
                <w:sz w:val="12"/>
                <w:szCs w:val="12"/>
                <w:color w:val="auto"/>
              </w:rPr>
            </w:pPr>
          </w:p>
        </w:tc>
        <w:tc>
          <w:tcPr>
            <w:tcW w:w="11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Cayman</w:t>
            </w:r>
          </w:p>
        </w:tc>
        <w:tc>
          <w:tcPr>
            <w:tcW w:w="8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58.3%</w:t>
            </w:r>
          </w:p>
        </w:tc>
        <w:tc>
          <w:tcPr>
            <w:tcW w:w="960" w:type="dxa"/>
            <w:vAlign w:val="bottom"/>
            <w:vMerge w:val="continue"/>
            <w:shd w:val="clear" w:color="auto" w:fill="CCEEFF"/>
          </w:tcPr>
          <w:p>
            <w:pPr>
              <w:spacing w:after="0"/>
              <w:rPr>
                <w:sz w:val="12"/>
                <w:szCs w:val="12"/>
                <w:color w:val="auto"/>
              </w:rPr>
            </w:pPr>
          </w:p>
        </w:tc>
        <w:tc>
          <w:tcPr>
            <w:tcW w:w="19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45,500,000   19,023,511</w:t>
            </w:r>
          </w:p>
        </w:tc>
        <w:tc>
          <w:tcPr>
            <w:tcW w:w="1240" w:type="dxa"/>
            <w:vAlign w:val="bottom"/>
            <w:vMerge w:val="restart"/>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4,550</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(12)(18)(25)</w:t>
            </w:r>
          </w:p>
        </w:tc>
        <w:tc>
          <w:tcPr>
            <w:tcW w:w="1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Islands</w:t>
            </w:r>
          </w:p>
        </w:tc>
        <w:tc>
          <w:tcPr>
            <w:tcW w:w="80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94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p>
      <w:pPr>
        <w:spacing w:after="0" w:line="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Collateralized Loan</w:t>
      </w:r>
    </w:p>
    <w:p>
      <w:pPr>
        <w:ind w:left="640"/>
        <w:spacing w:after="0" w:line="229" w:lineRule="auto"/>
        <w:rPr>
          <w:sz w:val="20"/>
          <w:szCs w:val="20"/>
          <w:color w:val="auto"/>
        </w:rPr>
      </w:pPr>
      <w:r>
        <w:rPr>
          <w:rFonts w:ascii="Times New Roman" w:cs="Times New Roman" w:eastAsia="Times New Roman" w:hAnsi="Times New Roman"/>
          <w:sz w:val="14"/>
          <w:szCs w:val="14"/>
          <w:b w:val="1"/>
          <w:bCs w:val="1"/>
          <w:u w:val="single" w:color="auto"/>
          <w:color w:val="auto"/>
        </w:rPr>
        <w:t>Obligation – Equity</w:t>
      </w: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Investments – (continued)</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Telos CLO 2013-3,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000" w:right="6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0.00% due July 17, 2026</w:t>
      </w:r>
      <w:r>
        <w:rPr>
          <w:rFonts w:ascii="Times New Roman" w:cs="Times New Roman" w:eastAsia="Times New Roman" w:hAnsi="Times New Roman"/>
          <w:sz w:val="19"/>
          <w:szCs w:val="19"/>
          <w:color w:val="auto"/>
          <w:vertAlign w:val="superscript"/>
        </w:rPr>
        <w:t>(9)(11)</w:t>
      </w:r>
    </w:p>
    <w:p>
      <w:pPr>
        <w:ind w:left="1000"/>
        <w:spacing w:after="0"/>
        <w:rPr>
          <w:sz w:val="20"/>
          <w:szCs w:val="20"/>
          <w:color w:val="auto"/>
        </w:rPr>
      </w:pPr>
      <w:r>
        <w:rPr>
          <w:rFonts w:ascii="Times New Roman" w:cs="Times New Roman" w:eastAsia="Times New Roman" w:hAnsi="Times New Roman"/>
          <w:sz w:val="11"/>
          <w:szCs w:val="11"/>
          <w:color w:val="auto"/>
        </w:rPr>
        <w:t>(12)(18)(22)(25)</w:t>
      </w:r>
    </w:p>
    <w:p>
      <w:pPr>
        <w:spacing w:after="0" w:line="200" w:lineRule="exact"/>
        <w:rPr>
          <w:sz w:val="20"/>
          <w:szCs w:val="20"/>
          <w:color w:val="auto"/>
        </w:rPr>
      </w:pPr>
    </w:p>
    <w:p>
      <w:pPr>
        <w:spacing w:after="0" w:line="2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Telos CLO 2014-5,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0.00% due April 17, 2028</w:t>
      </w:r>
      <w:r>
        <w:rPr>
          <w:rFonts w:ascii="Times New Roman" w:cs="Times New Roman" w:eastAsia="Times New Roman" w:hAnsi="Times New Roman"/>
          <w:sz w:val="19"/>
          <w:szCs w:val="19"/>
          <w:color w:val="auto"/>
          <w:vertAlign w:val="superscript"/>
        </w:rPr>
        <w:t>(9)(11)</w:t>
      </w:r>
    </w:p>
    <w:p>
      <w:pPr>
        <w:ind w:left="1000"/>
        <w:spacing w:after="0"/>
        <w:rPr>
          <w:sz w:val="20"/>
          <w:szCs w:val="20"/>
          <w:color w:val="auto"/>
        </w:rPr>
      </w:pPr>
      <w:r>
        <w:rPr>
          <w:rFonts w:ascii="Times New Roman" w:cs="Times New Roman" w:eastAsia="Times New Roman" w:hAnsi="Times New Roman"/>
          <w:sz w:val="11"/>
          <w:szCs w:val="11"/>
          <w:color w:val="auto"/>
        </w:rPr>
        <w:t>(12)(15)(18)(25)</w:t>
      </w:r>
    </w:p>
    <w:p>
      <w:pPr>
        <w:spacing w:after="0" w:line="200" w:lineRule="exact"/>
        <w:rPr>
          <w:sz w:val="20"/>
          <w:szCs w:val="20"/>
          <w:color w:val="auto"/>
        </w:rPr>
      </w:pPr>
    </w:p>
    <w:p>
      <w:pPr>
        <w:spacing w:after="0" w:line="2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Venture XX,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0.00% due April 15, 2027</w:t>
      </w:r>
      <w:r>
        <w:rPr>
          <w:rFonts w:ascii="Times New Roman" w:cs="Times New Roman" w:eastAsia="Times New Roman" w:hAnsi="Times New Roman"/>
          <w:sz w:val="19"/>
          <w:szCs w:val="19"/>
          <w:color w:val="auto"/>
          <w:vertAlign w:val="superscript"/>
        </w:rPr>
        <w:t>(9)(11)</w:t>
      </w:r>
    </w:p>
    <w:p>
      <w:pPr>
        <w:ind w:left="1000"/>
        <w:spacing w:after="0"/>
        <w:rPr>
          <w:sz w:val="20"/>
          <w:szCs w:val="20"/>
          <w:color w:val="auto"/>
        </w:rPr>
      </w:pPr>
      <w:r>
        <w:rPr>
          <w:rFonts w:ascii="Times New Roman" w:cs="Times New Roman" w:eastAsia="Times New Roman" w:hAnsi="Times New Roman"/>
          <w:sz w:val="11"/>
          <w:szCs w:val="11"/>
          <w:color w:val="auto"/>
        </w:rPr>
        <w:t>(12)(15)(18)(22)(25)</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Venture 35 CLO,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left="820" w:right="100"/>
        <w:spacing w:after="0" w:line="237" w:lineRule="auto"/>
        <w:rPr>
          <w:sz w:val="20"/>
          <w:szCs w:val="20"/>
          <w:color w:val="auto"/>
        </w:rPr>
      </w:pPr>
      <w:r>
        <w:rPr>
          <w:rFonts w:ascii="Times New Roman" w:cs="Times New Roman" w:eastAsia="Times New Roman" w:hAnsi="Times New Roman"/>
          <w:sz w:val="14"/>
          <w:szCs w:val="14"/>
          <w:color w:val="auto"/>
        </w:rPr>
        <w:t>CLO subordinated notes, estimated yield 0.00%</w:t>
      </w:r>
    </w:p>
    <w:p>
      <w:pPr>
        <w:ind w:left="1000"/>
        <w:spacing w:after="0" w:line="187" w:lineRule="auto"/>
        <w:rPr>
          <w:sz w:val="20"/>
          <w:szCs w:val="20"/>
          <w:color w:val="auto"/>
        </w:rPr>
      </w:pPr>
      <w:r>
        <w:rPr>
          <w:rFonts w:ascii="Times New Roman" w:cs="Times New Roman" w:eastAsia="Times New Roman" w:hAnsi="Times New Roman"/>
          <w:sz w:val="14"/>
          <w:szCs w:val="14"/>
          <w:color w:val="auto"/>
        </w:rPr>
        <w:t>due October 22, 2031</w:t>
      </w:r>
      <w:r>
        <w:rPr>
          <w:rFonts w:ascii="Times New Roman" w:cs="Times New Roman" w:eastAsia="Times New Roman" w:hAnsi="Times New Roman"/>
          <w:sz w:val="21"/>
          <w:szCs w:val="21"/>
          <w:color w:val="auto"/>
          <w:vertAlign w:val="superscript"/>
        </w:rPr>
        <w:t>(9)</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1"/>
          <w:szCs w:val="11"/>
          <w:color w:val="auto"/>
        </w:rPr>
        <w:t>(11)(12)(18)(25)</w:t>
      </w:r>
    </w:p>
    <w:p>
      <w:pPr>
        <w:spacing w:after="0" w:line="200" w:lineRule="exact"/>
        <w:rPr>
          <w:sz w:val="20"/>
          <w:szCs w:val="20"/>
          <w:color w:val="auto"/>
        </w:rPr>
      </w:pPr>
    </w:p>
    <w:p>
      <w:pPr>
        <w:spacing w:after="0" w:line="2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Zais CLO 6,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000" w:right="60" w:hanging="179"/>
        <w:spacing w:after="0" w:line="235" w:lineRule="auto"/>
        <w:rPr>
          <w:sz w:val="20"/>
          <w:szCs w:val="20"/>
          <w:color w:val="auto"/>
        </w:rPr>
      </w:pPr>
      <w:r>
        <w:rPr>
          <w:rFonts w:ascii="Times New Roman" w:cs="Times New Roman" w:eastAsia="Times New Roman" w:hAnsi="Times New Roman"/>
          <w:sz w:val="13"/>
          <w:szCs w:val="13"/>
          <w:color w:val="auto"/>
        </w:rPr>
        <w:t>CLO subordinated notes, estimated yield 0.00% due July 15, 2029</w:t>
      </w:r>
      <w:r>
        <w:rPr>
          <w:rFonts w:ascii="Times New Roman" w:cs="Times New Roman" w:eastAsia="Times New Roman" w:hAnsi="Times New Roman"/>
          <w:sz w:val="19"/>
          <w:szCs w:val="19"/>
          <w:color w:val="auto"/>
          <w:vertAlign w:val="superscript"/>
        </w:rPr>
        <w:t>(9)(11)</w:t>
      </w:r>
    </w:p>
    <w:p>
      <w:pPr>
        <w:ind w:left="1000"/>
        <w:spacing w:after="0"/>
        <w:rPr>
          <w:sz w:val="20"/>
          <w:szCs w:val="20"/>
          <w:color w:val="auto"/>
        </w:rPr>
      </w:pPr>
      <w:r>
        <w:rPr>
          <w:rFonts w:ascii="Times New Roman" w:cs="Times New Roman" w:eastAsia="Times New Roman" w:hAnsi="Times New Roman"/>
          <w:sz w:val="11"/>
          <w:szCs w:val="11"/>
          <w:color w:val="auto"/>
        </w:rPr>
        <w:t>(12)(13)(18)(24)(25)</w:t>
      </w:r>
    </w:p>
    <w:p>
      <w:pPr>
        <w:spacing w:after="0" w:line="5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Total Structured</w:t>
      </w:r>
    </w:p>
    <w:p>
      <w:pPr>
        <w:spacing w:after="0" w:line="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Finance</w:t>
      </w:r>
    </w:p>
    <w:p>
      <w:pPr>
        <w:spacing w:after="0" w:line="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Total Collateralized</w:t>
      </w:r>
    </w:p>
    <w:p>
      <w:pPr>
        <w:ind w:left="1360"/>
        <w:spacing w:after="0" w:line="227" w:lineRule="auto"/>
        <w:rPr>
          <w:sz w:val="20"/>
          <w:szCs w:val="20"/>
          <w:color w:val="auto"/>
        </w:rPr>
      </w:pPr>
      <w:r>
        <w:rPr>
          <w:rFonts w:ascii="Times New Roman" w:cs="Times New Roman" w:eastAsia="Times New Roman" w:hAnsi="Times New Roman"/>
          <w:sz w:val="14"/>
          <w:szCs w:val="14"/>
          <w:b w:val="1"/>
          <w:bCs w:val="1"/>
          <w:color w:val="auto"/>
        </w:rPr>
        <w:t>Loan</w:t>
      </w:r>
    </w:p>
    <w:p>
      <w:pPr>
        <w:ind w:left="1360"/>
        <w:spacing w:after="0" w:line="222" w:lineRule="auto"/>
        <w:rPr>
          <w:sz w:val="20"/>
          <w:szCs w:val="20"/>
          <w:color w:val="auto"/>
        </w:rPr>
      </w:pPr>
      <w:r>
        <w:rPr>
          <w:rFonts w:ascii="Times New Roman" w:cs="Times New Roman" w:eastAsia="Times New Roman" w:hAnsi="Times New Roman"/>
          <w:sz w:val="14"/>
          <w:szCs w:val="14"/>
          <w:b w:val="1"/>
          <w:bCs w:val="1"/>
          <w:color w:val="auto"/>
        </w:rPr>
        <w:t>Obligation –</w:t>
      </w:r>
    </w:p>
    <w:p>
      <w:pPr>
        <w:ind w:left="1380"/>
        <w:spacing w:after="0" w:line="221" w:lineRule="auto"/>
        <w:rPr>
          <w:sz w:val="20"/>
          <w:szCs w:val="20"/>
          <w:color w:val="auto"/>
        </w:rPr>
      </w:pPr>
      <w:r>
        <w:rPr>
          <w:rFonts w:ascii="Times New Roman" w:cs="Times New Roman" w:eastAsia="Times New Roman" w:hAnsi="Times New Roman"/>
          <w:sz w:val="14"/>
          <w:szCs w:val="14"/>
          <w:b w:val="1"/>
          <w:bCs w:val="1"/>
          <w:color w:val="auto"/>
        </w:rPr>
        <w:t>Equity</w:t>
      </w:r>
    </w:p>
    <w:p>
      <w:pPr>
        <w:ind w:left="1360"/>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PORTFOLIO</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COMPANY</w:t>
            </w: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9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PRINCIPAL</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r>
      <w:tr>
        <w:trPr>
          <w:trHeight w:val="196"/>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ADDRESS</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HELD</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w:t>
            </w:r>
          </w:p>
        </w:tc>
        <w:tc>
          <w:tcPr>
            <w:tcW w:w="80" w:type="dxa"/>
            <w:vAlign w:val="bottom"/>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r>
              <w:rPr>
                <w:rFonts w:ascii="Times New Roman" w:cs="Times New Roman" w:eastAsia="Times New Roman" w:hAnsi="Times New Roman"/>
                <w:sz w:val="14"/>
                <w:szCs w:val="14"/>
                <w:b w:val="1"/>
                <w:bCs w:val="1"/>
                <w:color w:val="auto"/>
                <w:w w:val="92"/>
                <w:vertAlign w:val="superscript"/>
              </w:rPr>
              <w:t>(2)</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-8255</wp:posOffset>
            </wp:positionV>
            <wp:extent cx="5143500"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51435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Appleby</w:t>
            </w: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Ltd. Clifton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House 75 Fort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Street PO Box</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1350 Grand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KY1-1108</w:t>
            </w:r>
          </w:p>
        </w:tc>
        <w:tc>
          <w:tcPr>
            <w:tcW w:w="720" w:type="dxa"/>
            <w:vAlign w:val="bottom"/>
          </w:tcPr>
          <w:p>
            <w:pPr>
              <w:spacing w:after="0"/>
              <w:rPr>
                <w:sz w:val="12"/>
                <w:szCs w:val="12"/>
                <w:color w:val="auto"/>
              </w:rPr>
            </w:pPr>
          </w:p>
        </w:tc>
        <w:tc>
          <w:tcPr>
            <w:tcW w:w="10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January 25,</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30.4%</w:t>
            </w:r>
          </w:p>
        </w:tc>
        <w:tc>
          <w:tcPr>
            <w:tcW w:w="1060" w:type="dxa"/>
            <w:vAlign w:val="bottom"/>
            <w:vMerge w:val="continue"/>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$ 14,447,790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6,207,075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2013</w:t>
            </w:r>
          </w:p>
        </w:tc>
        <w:tc>
          <w:tcPr>
            <w:tcW w:w="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Appleby</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Ltd. Clifton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House 75 Fort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Street PO Box</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1350 Grand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KY1-1108</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80.1%</w:t>
            </w:r>
          </w:p>
        </w:tc>
        <w:tc>
          <w:tcPr>
            <w:tcW w:w="106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April 11, 2014</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28,500,000</w:t>
            </w:r>
          </w:p>
        </w:tc>
        <w:tc>
          <w:tcPr>
            <w:tcW w:w="10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18,179,226</w:t>
            </w:r>
          </w:p>
        </w:tc>
        <w:tc>
          <w:tcPr>
            <w:tcW w:w="1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10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July 27, 2018</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332,779</w:t>
            </w:r>
          </w:p>
        </w:tc>
        <w:tc>
          <w:tcPr>
            <w:tcW w:w="10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20" w:type="dxa"/>
            <w:vAlign w:val="bottom"/>
          </w:tcPr>
          <w:p>
            <w:pPr>
              <w:spacing w:after="0"/>
              <w:rPr>
                <w:sz w:val="12"/>
                <w:szCs w:val="12"/>
                <w:color w:val="auto"/>
              </w:rPr>
            </w:pPr>
          </w:p>
        </w:tc>
        <w:tc>
          <w:tcPr>
            <w:tcW w:w="10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December 7,</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1060" w:type="dxa"/>
            <w:vAlign w:val="bottom"/>
            <w:vMerge w:val="continue"/>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512,144</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vMerge w:val="continue"/>
          </w:tcPr>
          <w:p>
            <w:pPr>
              <w:spacing w:after="0"/>
              <w:rPr>
                <w:sz w:val="16"/>
                <w:szCs w:val="16"/>
                <w:color w:val="auto"/>
              </w:rPr>
            </w:pPr>
          </w:p>
        </w:tc>
        <w:tc>
          <w:tcPr>
            <w:tcW w:w="10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2020</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6"/>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c/o MaplesFS</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Limited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 Box</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Boundary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Hall Cricket</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Square Grand</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KY1-1102</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Islands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May 3, 2017</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10,500,000</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5,069,347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0" w:type="dxa"/>
            <w:vAlign w:val="bottom"/>
          </w:tcPr>
          <w:p>
            <w:pPr>
              <w:spacing w:after="0" w:line="20" w:lineRule="exact"/>
              <w:rPr>
                <w:sz w:val="1"/>
                <w:szCs w:val="1"/>
                <w:color w:val="auto"/>
              </w:rPr>
            </w:pPr>
          </w:p>
        </w:tc>
      </w:tr>
      <w:tr>
        <w:trPr>
          <w:trHeight w:val="319"/>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199,229,494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95,112,258</w:t>
            </w:r>
          </w:p>
        </w:tc>
        <w:tc>
          <w:tcPr>
            <w:tcW w:w="8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199,229,494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95,112,258</w:t>
            </w: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-7474585</wp:posOffset>
            </wp:positionV>
            <wp:extent cx="5143500" cy="1062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5143500" cy="10629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-6231255</wp:posOffset>
            </wp:positionV>
            <wp:extent cx="514350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-4988560</wp:posOffset>
            </wp:positionV>
            <wp:extent cx="514350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-4628515</wp:posOffset>
            </wp:positionV>
            <wp:extent cx="5143500" cy="1062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5143500" cy="10629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-3385820</wp:posOffset>
            </wp:positionV>
            <wp:extent cx="514350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-2142490</wp:posOffset>
            </wp:positionV>
            <wp:extent cx="514350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-1782445</wp:posOffset>
            </wp:positionV>
            <wp:extent cx="5143500" cy="1062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5143500" cy="106299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-504825</wp:posOffset>
            </wp:positionV>
            <wp:extent cx="5143500" cy="497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2380" w:space="160"/>
            <w:col w:w="647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PORTFOLIO</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PERCENTAGE</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PRINCIPAL</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0" w:type="dxa"/>
            <w:vAlign w:val="bottom"/>
          </w:tcPr>
          <w:p>
            <w:pPr>
              <w:spacing w:after="0"/>
              <w:rPr>
                <w:sz w:val="1"/>
                <w:szCs w:val="1"/>
                <w:color w:val="auto"/>
              </w:rPr>
            </w:pPr>
          </w:p>
        </w:tc>
      </w:tr>
      <w:tr>
        <w:trPr>
          <w:trHeight w:val="135"/>
        </w:trPr>
        <w:tc>
          <w:tcPr>
            <w:tcW w:w="1940" w:type="dxa"/>
            <w:vAlign w:val="bottom"/>
            <w:gridSpan w:val="8"/>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COMPANY/INVESTMENT</w:t>
            </w:r>
            <w:r>
              <w:rPr>
                <w:rFonts w:ascii="Times New Roman" w:cs="Times New Roman" w:eastAsia="Times New Roman" w:hAnsi="Times New Roman"/>
                <w:sz w:val="14"/>
                <w:szCs w:val="14"/>
                <w:b w:val="1"/>
                <w:bCs w:val="1"/>
                <w:color w:val="auto"/>
                <w:vertAlign w:val="superscript"/>
              </w:rPr>
              <w:t>(1)(20)</w:t>
            </w:r>
          </w:p>
        </w:tc>
        <w:tc>
          <w:tcPr>
            <w:tcW w:w="6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COMPANY</w:t>
            </w: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CLASS</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ACQUISITION</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AMOUNT/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96"/>
        </w:trPr>
        <w:tc>
          <w:tcPr>
            <w:tcW w:w="1940" w:type="dxa"/>
            <w:vAlign w:val="bottom"/>
            <w:gridSpan w:val="8"/>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ADDRESS</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HELD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DATE</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SHARES</w:t>
            </w:r>
          </w:p>
        </w:tc>
        <w:tc>
          <w:tcPr>
            <w:tcW w:w="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VALUE</w:t>
            </w:r>
            <w:r>
              <w:rPr>
                <w:rFonts w:ascii="Times New Roman" w:cs="Times New Roman" w:eastAsia="Times New Roman" w:hAnsi="Times New Roman"/>
                <w:sz w:val="14"/>
                <w:szCs w:val="14"/>
                <w:b w:val="1"/>
                <w:bCs w:val="1"/>
                <w:color w:val="auto"/>
                <w:w w:val="99"/>
                <w:vertAlign w:val="superscript"/>
              </w:rPr>
              <w:t>(2)</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Assets</w:t>
            </w:r>
            <w:r>
              <w:rPr>
                <w:rFonts w:ascii="Times New Roman" w:cs="Times New Roman" w:eastAsia="Times New Roman" w:hAnsi="Times New Roman"/>
                <w:sz w:val="14"/>
                <w:szCs w:val="14"/>
                <w:b w:val="1"/>
                <w:bCs w:val="1"/>
                <w:color w:val="auto"/>
                <w:w w:val="91"/>
                <w:vertAlign w:val="superscript"/>
              </w:rPr>
              <w:t>(10)</w:t>
            </w:r>
          </w:p>
        </w:tc>
        <w:tc>
          <w:tcPr>
            <w:tcW w:w="0" w:type="dxa"/>
            <w:vAlign w:val="bottom"/>
          </w:tcPr>
          <w:p>
            <w:pPr>
              <w:spacing w:after="0"/>
              <w:rPr>
                <w:sz w:val="1"/>
                <w:szCs w:val="1"/>
                <w:color w:val="auto"/>
              </w:rPr>
            </w:pPr>
          </w:p>
        </w:tc>
      </w:tr>
      <w:tr>
        <w:trPr>
          <w:trHeight w:val="229"/>
        </w:trPr>
        <w:tc>
          <w:tcPr>
            <w:tcW w:w="1940" w:type="dxa"/>
            <w:vAlign w:val="bottom"/>
            <w:tcBorders>
              <w:top w:val="single" w:sz="8" w:color="auto"/>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80" w:type="dxa"/>
            <w:vAlign w:val="bottom"/>
          </w:tcPr>
          <w:p>
            <w:pPr>
              <w:spacing w:after="0"/>
              <w:rPr>
                <w:sz w:val="22"/>
                <w:szCs w:val="22"/>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IT Consulting</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760" w:type="dxa"/>
            <w:vAlign w:val="bottom"/>
            <w:gridSpan w:val="7"/>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UniTek Global Services,</w:t>
            </w: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4"/>
                <w:szCs w:val="14"/>
                <w:color w:val="auto"/>
              </w:rPr>
              <w:t>1817 Crane</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Ridge Drive,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January 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21"/>
                <w:szCs w:val="21"/>
                <w:color w:val="auto"/>
                <w:vertAlign w:val="superscript"/>
              </w:rPr>
              <w:t>(7)</w:t>
            </w: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Jackson,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760" w:type="dxa"/>
            <w:vAlign w:val="bottom"/>
            <w:gridSpan w:val="7"/>
            <w:vMerge w:val="continue"/>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MS 39216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1,244,188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684,960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760" w:type="dxa"/>
            <w:vAlign w:val="bottom"/>
            <w:gridSpan w:val="7"/>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IT Consulting</w:t>
            </w: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w:t>
            </w:r>
          </w:p>
        </w:tc>
        <w:tc>
          <w:tcPr>
            <w:tcW w:w="0" w:type="dxa"/>
            <w:vAlign w:val="bottom"/>
          </w:tcPr>
          <w:p>
            <w:pPr>
              <w:spacing w:after="0" w:line="20" w:lineRule="exact"/>
              <w:rPr>
                <w:sz w:val="1"/>
                <w:szCs w:val="1"/>
                <w:color w:val="auto"/>
              </w:rPr>
            </w:pPr>
          </w:p>
        </w:tc>
      </w:tr>
      <w:tr>
        <w:trPr>
          <w:trHeight w:val="259"/>
        </w:trPr>
        <w:tc>
          <w:tcPr>
            <w:tcW w:w="180" w:type="dxa"/>
            <w:vAlign w:val="bottom"/>
            <w:shd w:val="clear" w:color="auto" w:fill="CCEEFF"/>
          </w:tcPr>
          <w:p>
            <w:pPr>
              <w:spacing w:after="0"/>
              <w:rPr>
                <w:sz w:val="22"/>
                <w:szCs w:val="22"/>
                <w:color w:val="auto"/>
              </w:rPr>
            </w:pPr>
          </w:p>
        </w:tc>
        <w:tc>
          <w:tcPr>
            <w:tcW w:w="1760" w:type="dxa"/>
            <w:vAlign w:val="bottom"/>
            <w:gridSpan w:val="7"/>
            <w:vMerge w:val="continue"/>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684,960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Telecommunication Services</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1760" w:type="dxa"/>
            <w:vAlign w:val="bottom"/>
            <w:gridSpan w:val="7"/>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ConvergeOne Holdings,</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7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10900 Nesbitt</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Avenue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South,</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76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equity</w:t>
            </w:r>
            <w:r>
              <w:rPr>
                <w:rFonts w:ascii="Times New Roman" w:cs="Times New Roman" w:eastAsia="Times New Roman" w:hAnsi="Times New Roman"/>
                <w:sz w:val="21"/>
                <w:szCs w:val="21"/>
                <w:color w:val="auto"/>
                <w:vertAlign w:val="superscript"/>
              </w:rPr>
              <w:t>(7)</w:t>
            </w: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Bloomington,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18"/>
                <w:szCs w:val="18"/>
                <w:color w:val="auto"/>
              </w:rPr>
            </w:pPr>
          </w:p>
        </w:tc>
        <w:tc>
          <w:tcPr>
            <w:tcW w:w="1760" w:type="dxa"/>
            <w:vAlign w:val="bottom"/>
            <w:gridSpan w:val="7"/>
            <w:vMerge w:val="continue"/>
            <w:shd w:val="clear" w:color="auto" w:fill="CCEEFF"/>
          </w:tcPr>
          <w:p>
            <w:pPr>
              <w:spacing w:after="0"/>
              <w:rPr>
                <w:sz w:val="18"/>
                <w:szCs w:val="18"/>
                <w:color w:val="auto"/>
              </w:rPr>
            </w:pP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MN 55437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8, 2024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95,775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1,349,602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359,156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80" w:type="dxa"/>
            <w:vAlign w:val="bottom"/>
          </w:tcPr>
          <w:p>
            <w:pPr>
              <w:spacing w:after="0"/>
              <w:rPr>
                <w:sz w:val="9"/>
                <w:szCs w:val="9"/>
                <w:color w:val="auto"/>
              </w:rPr>
            </w:pPr>
          </w:p>
        </w:tc>
        <w:tc>
          <w:tcPr>
            <w:tcW w:w="1760" w:type="dxa"/>
            <w:vAlign w:val="bottom"/>
            <w:gridSpan w:val="7"/>
          </w:tcPr>
          <w:p>
            <w:pPr>
              <w:ind w:left="360"/>
              <w:spacing w:after="0" w:line="104"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6"/>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Telecommunication</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0.2%</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1,349,602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359,156</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360" w:type="dxa"/>
            <w:vAlign w:val="bottom"/>
            <w:gridSpan w:val="6"/>
            <w:vMerge w:val="restart"/>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80" w:type="dxa"/>
            <w:vAlign w:val="bottom"/>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1360" w:type="dxa"/>
            <w:vAlign w:val="bottom"/>
            <w:gridSpan w:val="6"/>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0.2%</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2,034,562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359,156</w:t>
            </w:r>
          </w:p>
        </w:tc>
        <w:tc>
          <w:tcPr>
            <w:tcW w:w="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40" w:type="dxa"/>
            <w:vAlign w:val="bottom"/>
            <w:gridSpan w:val="8"/>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Simple Agreements for Future</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gridSpan w:val="5"/>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Equity (“SAFE”)</w:t>
            </w:r>
          </w:p>
        </w:tc>
        <w:tc>
          <w:tcPr>
            <w:tcW w:w="6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Artificial Intelligence</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760" w:type="dxa"/>
            <w:vAlign w:val="bottom"/>
            <w:gridSpan w:val="7"/>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Infinity Constellation</w:t>
            </w: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4"/>
                <w:szCs w:val="14"/>
                <w:color w:val="auto"/>
              </w:rPr>
              <w:t>42 Broadway,</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Suite 12-443</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November 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7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SAFE Investment</w:t>
            </w:r>
            <w:r>
              <w:rPr>
                <w:rFonts w:ascii="Times New Roman" w:cs="Times New Roman" w:eastAsia="Times New Roman" w:hAnsi="Times New Roman"/>
                <w:sz w:val="21"/>
                <w:szCs w:val="21"/>
                <w:color w:val="auto"/>
                <w:vertAlign w:val="superscript"/>
              </w:rPr>
              <w:t>(7)(27)</w:t>
            </w: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New York,</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760" w:type="dxa"/>
            <w:vAlign w:val="bottom"/>
            <w:gridSpan w:val="7"/>
            <w:vMerge w:val="continue"/>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NY 10004</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80" w:type="dxa"/>
            <w:vAlign w:val="bottom"/>
            <w:tcBorders>
              <w:top w:val="single" w:sz="8" w:color="CCEEFF"/>
            </w:tcBorders>
            <w:shd w:val="clear" w:color="auto" w:fill="CCEEFF"/>
          </w:tcPr>
          <w:p>
            <w:pPr>
              <w:spacing w:after="0"/>
              <w:rPr>
                <w:sz w:val="9"/>
                <w:szCs w:val="9"/>
                <w:color w:val="auto"/>
              </w:rPr>
            </w:pPr>
          </w:p>
        </w:tc>
        <w:tc>
          <w:tcPr>
            <w:tcW w:w="1760" w:type="dxa"/>
            <w:vAlign w:val="bottom"/>
            <w:tcBorders>
              <w:top w:val="single" w:sz="8" w:color="CCEEFF"/>
            </w:tcBorders>
            <w:gridSpan w:val="7"/>
            <w:shd w:val="clear" w:color="auto" w:fill="CCEEFF"/>
          </w:tcPr>
          <w:p>
            <w:pPr>
              <w:ind w:left="360"/>
              <w:spacing w:after="0" w:line="104" w:lineRule="exact"/>
              <w:rPr>
                <w:sz w:val="20"/>
                <w:szCs w:val="20"/>
                <w:color w:val="auto"/>
              </w:rPr>
            </w:pPr>
            <w:r>
              <w:rPr>
                <w:rFonts w:ascii="Times New Roman" w:cs="Times New Roman" w:eastAsia="Times New Roman" w:hAnsi="Times New Roman"/>
                <w:sz w:val="12"/>
                <w:szCs w:val="12"/>
                <w:b w:val="1"/>
                <w:bCs w:val="1"/>
                <w:color w:val="auto"/>
              </w:rPr>
              <w:t>Total Artificial</w:t>
            </w:r>
          </w:p>
        </w:tc>
        <w:tc>
          <w:tcPr>
            <w:tcW w:w="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Intelligence</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4,000,000</w:t>
            </w:r>
          </w:p>
        </w:tc>
        <w:tc>
          <w:tcPr>
            <w:tcW w:w="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Total SAFE</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4,000,000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w:t>
            </w:r>
          </w:p>
        </w:tc>
        <w:tc>
          <w:tcPr>
            <w:tcW w:w="0" w:type="dxa"/>
            <w:vAlign w:val="bottom"/>
          </w:tcPr>
          <w:p>
            <w:pPr>
              <w:spacing w:after="0"/>
              <w:rPr>
                <w:sz w:val="1"/>
                <w:szCs w:val="1"/>
                <w:color w:val="auto"/>
              </w:rPr>
            </w:pPr>
          </w:p>
        </w:tc>
      </w:tr>
      <w:tr>
        <w:trPr>
          <w:trHeight w:val="282"/>
        </w:trPr>
        <w:tc>
          <w:tcPr>
            <w:tcW w:w="1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1760" w:type="dxa"/>
            <w:vAlign w:val="bottom"/>
            <w:gridSpan w:val="7"/>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Careismatic Brands, Inc.</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760" w:type="dxa"/>
            <w:vAlign w:val="bottom"/>
            <w:gridSpan w:val="7"/>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(f/k/a New Trojan</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7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Parent, Inc.)</w:t>
            </w: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176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equity warrants</w:t>
            </w:r>
          </w:p>
        </w:tc>
        <w:tc>
          <w:tcPr>
            <w:tcW w:w="96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9800 De Soto</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760" w:type="dxa"/>
            <w:vAlign w:val="bottom"/>
            <w:gridSpan w:val="7"/>
            <w:vMerge w:val="continue"/>
            <w:shd w:val="clear" w:color="auto" w:fill="CCEEFF"/>
          </w:tcPr>
          <w:p>
            <w:pPr>
              <w:spacing w:after="0"/>
              <w:rPr>
                <w:sz w:val="10"/>
                <w:szCs w:val="10"/>
                <w:color w:val="auto"/>
              </w:rPr>
            </w:pPr>
          </w:p>
        </w:tc>
        <w:tc>
          <w:tcPr>
            <w:tcW w:w="960" w:type="dxa"/>
            <w:vAlign w:val="bottom"/>
            <w:gridSpan w:val="3"/>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Ave,</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(June 13, 2029 expiry,</w:t>
            </w: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Chatsworth,</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760" w:type="dxa"/>
            <w:vAlign w:val="bottom"/>
            <w:gridSpan w:val="7"/>
            <w:shd w:val="clear" w:color="auto" w:fill="CCEEFF"/>
          </w:tcPr>
          <w:p>
            <w:pPr>
              <w:ind w:left="360"/>
              <w:spacing w:after="0" w:line="216" w:lineRule="exact"/>
              <w:rPr>
                <w:sz w:val="20"/>
                <w:szCs w:val="20"/>
                <w:color w:val="auto"/>
              </w:rPr>
            </w:pPr>
            <w:r>
              <w:rPr>
                <w:rFonts w:ascii="Times New Roman" w:cs="Times New Roman" w:eastAsia="Times New Roman" w:hAnsi="Times New Roman"/>
                <w:sz w:val="14"/>
                <w:szCs w:val="14"/>
                <w:color w:val="auto"/>
              </w:rPr>
              <w:t>$119.80 strike)</w:t>
            </w:r>
            <w:r>
              <w:rPr>
                <w:rFonts w:ascii="Times New Roman" w:cs="Times New Roman" w:eastAsia="Times New Roman" w:hAnsi="Times New Roman"/>
                <w:sz w:val="21"/>
                <w:szCs w:val="21"/>
                <w:color w:val="auto"/>
                <w:vertAlign w:val="superscript"/>
              </w:rPr>
              <w:t>(7)</w:t>
            </w: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 91311</w:t>
            </w: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June 13, 2024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62,157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gridSpan w:val="7"/>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 Healthcare</w:t>
            </w: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w:t>
            </w:r>
          </w:p>
        </w:tc>
        <w:tc>
          <w:tcPr>
            <w:tcW w:w="0" w:type="dxa"/>
            <w:vAlign w:val="bottom"/>
          </w:tcPr>
          <w:p>
            <w:pPr>
              <w:spacing w:after="0" w:line="20" w:lineRule="exact"/>
              <w:rPr>
                <w:sz w:val="1"/>
                <w:szCs w:val="1"/>
                <w:color w:val="auto"/>
              </w:rPr>
            </w:pPr>
          </w:p>
        </w:tc>
      </w:tr>
      <w:tr>
        <w:trPr>
          <w:trHeight w:val="258"/>
        </w:trPr>
        <w:tc>
          <w:tcPr>
            <w:tcW w:w="180" w:type="dxa"/>
            <w:vAlign w:val="bottom"/>
          </w:tcPr>
          <w:p>
            <w:pPr>
              <w:spacing w:after="0"/>
              <w:rPr>
                <w:sz w:val="22"/>
                <w:szCs w:val="22"/>
                <w:color w:val="auto"/>
              </w:rPr>
            </w:pPr>
          </w:p>
        </w:tc>
        <w:tc>
          <w:tcPr>
            <w:tcW w:w="1760" w:type="dxa"/>
            <w:vAlign w:val="bottom"/>
            <w:gridSpan w:val="7"/>
            <w:vMerge w:val="continue"/>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w:t>
            </w:r>
          </w:p>
        </w:tc>
        <w:tc>
          <w:tcPr>
            <w:tcW w:w="0" w:type="dxa"/>
            <w:vAlign w:val="bottom"/>
          </w:tcPr>
          <w:p>
            <w:pPr>
              <w:spacing w:after="0"/>
              <w:rPr>
                <w:sz w:val="1"/>
                <w:szCs w:val="1"/>
                <w:color w:val="auto"/>
              </w:rPr>
            </w:pPr>
          </w:p>
        </w:tc>
      </w:tr>
      <w:tr>
        <w:trPr>
          <w:trHeight w:val="28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80" w:type="dxa"/>
            <w:vAlign w:val="bottom"/>
          </w:tcPr>
          <w:p>
            <w:pPr>
              <w:spacing w:after="0"/>
              <w:rPr>
                <w:sz w:val="22"/>
                <w:szCs w:val="22"/>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IT Consulting</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760" w:type="dxa"/>
            <w:vAlign w:val="bottom"/>
            <w:gridSpan w:val="7"/>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UniTek Global Services,</w:t>
            </w: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Inc.</w:t>
            </w:r>
          </w:p>
        </w:tc>
        <w:tc>
          <w:tcPr>
            <w:tcW w:w="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4"/>
                <w:szCs w:val="14"/>
                <w:color w:val="auto"/>
              </w:rPr>
              <w:t>1817 Crane</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Ridge Drive,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7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Series B Preferred</w:t>
            </w:r>
          </w:p>
        </w:tc>
        <w:tc>
          <w:tcPr>
            <w:tcW w:w="9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96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Jackson,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June 26, 2019</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21,427,212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9,002,159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760" w:type="dxa"/>
            <w:vAlign w:val="bottom"/>
            <w:gridSpan w:val="7"/>
          </w:tcPr>
          <w:p>
            <w:pPr>
              <w:ind w:left="360"/>
              <w:spacing w:after="0" w:line="216" w:lineRule="exact"/>
              <w:rPr>
                <w:sz w:val="20"/>
                <w:szCs w:val="20"/>
                <w:color w:val="auto"/>
              </w:rPr>
            </w:pPr>
            <w:r>
              <w:rPr>
                <w:rFonts w:ascii="Times New Roman" w:cs="Times New Roman" w:eastAsia="Times New Roman" w:hAnsi="Times New Roman"/>
                <w:sz w:val="14"/>
                <w:szCs w:val="14"/>
                <w:color w:val="auto"/>
              </w:rPr>
              <w:t>Stock</w:t>
            </w:r>
            <w:r>
              <w:rPr>
                <w:rFonts w:ascii="Times New Roman" w:cs="Times New Roman" w:eastAsia="Times New Roman" w:hAnsi="Times New Roman"/>
                <w:sz w:val="21"/>
                <w:szCs w:val="21"/>
                <w:color w:val="auto"/>
                <w:vertAlign w:val="superscript"/>
              </w:rPr>
              <w:t>(17)</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MS 39216</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 w:type="dxa"/>
            <w:vAlign w:val="bottom"/>
            <w:shd w:val="clear" w:color="auto" w:fill="CCEEFF"/>
          </w:tcPr>
          <w:p>
            <w:pPr>
              <w:spacing w:after="0"/>
              <w:rPr>
                <w:sz w:val="11"/>
                <w:szCs w:val="11"/>
                <w:color w:val="auto"/>
              </w:rPr>
            </w:pPr>
          </w:p>
        </w:tc>
        <w:tc>
          <w:tcPr>
            <w:tcW w:w="1760" w:type="dxa"/>
            <w:vAlign w:val="bottom"/>
            <w:gridSpan w:val="7"/>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Series B Senior Preferred</w:t>
            </w: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1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w:t>
            </w:r>
            <w:r>
              <w:rPr>
                <w:rFonts w:ascii="Times New Roman" w:cs="Times New Roman" w:eastAsia="Times New Roman" w:hAnsi="Times New Roman"/>
                <w:sz w:val="21"/>
                <w:szCs w:val="21"/>
                <w:color w:val="auto"/>
                <w:vertAlign w:val="superscript"/>
              </w:rPr>
              <w:t>(17)</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June 26, 2019</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12,080,847</w:t>
            </w:r>
          </w:p>
        </w:tc>
        <w:tc>
          <w:tcPr>
            <w:tcW w:w="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4,535,443</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760" w:type="dxa"/>
            <w:vAlign w:val="bottom"/>
            <w:gridSpan w:val="7"/>
          </w:tcPr>
          <w:p>
            <w:pPr>
              <w:ind w:left="180"/>
              <w:spacing w:after="0" w:line="135" w:lineRule="exact"/>
              <w:rPr>
                <w:sz w:val="20"/>
                <w:szCs w:val="20"/>
                <w:color w:val="auto"/>
              </w:rPr>
            </w:pPr>
            <w:r>
              <w:rPr>
                <w:rFonts w:ascii="Times New Roman" w:cs="Times New Roman" w:eastAsia="Times New Roman" w:hAnsi="Times New Roman"/>
                <w:sz w:val="14"/>
                <w:szCs w:val="14"/>
                <w:color w:val="auto"/>
              </w:rPr>
              <w:t>Series B Super Senior</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76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w w:val="91"/>
              </w:rPr>
              <w:t>Preferred Stock</w:t>
            </w:r>
            <w:r>
              <w:rPr>
                <w:rFonts w:ascii="Times New Roman" w:cs="Times New Roman" w:eastAsia="Times New Roman" w:hAnsi="Times New Roman"/>
                <w:sz w:val="21"/>
                <w:szCs w:val="21"/>
                <w:color w:val="auto"/>
                <w:w w:val="91"/>
                <w:vertAlign w:val="superscript"/>
              </w:rPr>
              <w:t>(3)(17)(21)</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21"/>
                <w:szCs w:val="21"/>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June 26, 2019</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7,863,657</w:t>
            </w:r>
          </w:p>
        </w:tc>
        <w:tc>
          <w:tcPr>
            <w:tcW w:w="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2,592,024</w:t>
            </w: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5,006,790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760" w:type="dxa"/>
            <w:vAlign w:val="bottom"/>
            <w:gridSpan w:val="7"/>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IT Consulting</w:t>
            </w: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line="20" w:lineRule="exact"/>
              <w:rPr>
                <w:sz w:val="1"/>
                <w:szCs w:val="1"/>
                <w:color w:val="auto"/>
              </w:rPr>
            </w:pPr>
          </w:p>
        </w:tc>
      </w:tr>
      <w:tr>
        <w:trPr>
          <w:trHeight w:val="264"/>
        </w:trPr>
        <w:tc>
          <w:tcPr>
            <w:tcW w:w="180" w:type="dxa"/>
            <w:vAlign w:val="bottom"/>
            <w:shd w:val="clear" w:color="auto" w:fill="CCEEFF"/>
          </w:tcPr>
          <w:p>
            <w:pPr>
              <w:spacing w:after="0"/>
              <w:rPr>
                <w:sz w:val="22"/>
                <w:szCs w:val="22"/>
                <w:color w:val="auto"/>
              </w:rPr>
            </w:pPr>
          </w:p>
        </w:tc>
        <w:tc>
          <w:tcPr>
            <w:tcW w:w="1760" w:type="dxa"/>
            <w:vAlign w:val="bottom"/>
            <w:gridSpan w:val="7"/>
            <w:vMerge w:val="continue"/>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16,129,626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5,006,790</w:t>
            </w:r>
          </w:p>
        </w:tc>
        <w:tc>
          <w:tcPr>
            <w:tcW w:w="5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360" w:type="dxa"/>
            <w:vAlign w:val="bottom"/>
            <w:gridSpan w:val="6"/>
            <w:vMerge w:val="restart"/>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Total Preferred</w:t>
            </w: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36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16,129,626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5,006,790</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940" w:type="dxa"/>
            <w:vAlign w:val="bottom"/>
            <w:gridSpan w:val="8"/>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Total Investments in</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21"/>
                <w:szCs w:val="21"/>
                <w:color w:val="auto"/>
                <w:vertAlign w:val="superscript"/>
              </w:rPr>
              <w:t>(8)</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390,403,599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251,731,345</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173.1%</w:t>
            </w:r>
          </w:p>
        </w:tc>
        <w:tc>
          <w:tcPr>
            <w:tcW w:w="0" w:type="dxa"/>
            <w:vAlign w:val="bottom"/>
          </w:tcPr>
          <w:p>
            <w:pPr>
              <w:spacing w:after="0"/>
              <w:rPr>
                <w:sz w:val="1"/>
                <w:szCs w:val="1"/>
                <w:color w:val="auto"/>
              </w:rPr>
            </w:pPr>
          </w:p>
        </w:tc>
      </w:tr>
      <w:tr>
        <w:trPr>
          <w:trHeight w:val="277"/>
        </w:trPr>
        <w:tc>
          <w:tcPr>
            <w:tcW w:w="1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American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760" w:type="dxa"/>
            <w:vAlign w:val="bottom"/>
            <w:gridSpan w:val="7"/>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First American</w:t>
            </w: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Funds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0" w:type="dxa"/>
            <w:vAlign w:val="bottom"/>
            <w:shd w:val="clear" w:color="auto" w:fill="CCEEFF"/>
          </w:tcPr>
          <w:p>
            <w:pPr>
              <w:spacing w:after="0"/>
              <w:rPr>
                <w:sz w:val="10"/>
                <w:szCs w:val="10"/>
                <w:color w:val="auto"/>
              </w:rPr>
            </w:pPr>
          </w:p>
        </w:tc>
        <w:tc>
          <w:tcPr>
            <w:tcW w:w="1760" w:type="dxa"/>
            <w:vAlign w:val="bottom"/>
            <w:gridSpan w:val="7"/>
            <w:vMerge w:val="continue"/>
            <w:shd w:val="clear" w:color="auto" w:fill="CCEEFF"/>
          </w:tcPr>
          <w:p>
            <w:pPr>
              <w:spacing w:after="0"/>
              <w:rPr>
                <w:sz w:val="10"/>
                <w:szCs w:val="10"/>
                <w:color w:val="auto"/>
              </w:rPr>
            </w:pPr>
          </w:p>
        </w:tc>
        <w:tc>
          <w:tcPr>
            <w:tcW w:w="960" w:type="dxa"/>
            <w:vAlign w:val="bottom"/>
            <w:gridSpan w:val="3"/>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P.O. Box</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760" w:type="dxa"/>
            <w:vAlign w:val="bottom"/>
            <w:gridSpan w:val="7"/>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Government</w:t>
            </w:r>
          </w:p>
        </w:tc>
        <w:tc>
          <w:tcPr>
            <w:tcW w:w="9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176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Obligations Fund –</w:t>
            </w:r>
          </w:p>
        </w:tc>
        <w:tc>
          <w:tcPr>
            <w:tcW w:w="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Minneapolis,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760" w:type="dxa"/>
            <w:vAlign w:val="bottom"/>
            <w:gridSpan w:val="7"/>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Class Z Shares,</w:t>
            </w:r>
          </w:p>
        </w:tc>
        <w:tc>
          <w:tcPr>
            <w:tcW w:w="96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MN 55440-</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40" w:type="dxa"/>
            <w:vAlign w:val="bottom"/>
            <w:gridSpan w:val="6"/>
            <w:shd w:val="clear" w:color="auto" w:fill="CCEEFF"/>
          </w:tcPr>
          <w:p>
            <w:pPr>
              <w:ind w:left="540"/>
              <w:spacing w:after="0" w:line="216" w:lineRule="exact"/>
              <w:rPr>
                <w:sz w:val="20"/>
                <w:szCs w:val="20"/>
                <w:color w:val="auto"/>
              </w:rPr>
            </w:pPr>
            <w:r>
              <w:rPr>
                <w:rFonts w:ascii="Times New Roman" w:cs="Times New Roman" w:eastAsia="Times New Roman" w:hAnsi="Times New Roman"/>
                <w:sz w:val="14"/>
                <w:szCs w:val="14"/>
                <w:color w:val="auto"/>
              </w:rPr>
              <w:t>3.64%</w:t>
            </w:r>
            <w:r>
              <w:rPr>
                <w:rFonts w:ascii="Times New Roman" w:cs="Times New Roman" w:eastAsia="Times New Roman" w:hAnsi="Times New Roman"/>
                <w:sz w:val="21"/>
                <w:szCs w:val="21"/>
                <w:color w:val="auto"/>
                <w:vertAlign w:val="superscript"/>
              </w:rPr>
              <w:t>(19)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1330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51,236,068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51,236,068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51,236,068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80" w:type="dxa"/>
            <w:vAlign w:val="bottom"/>
          </w:tcPr>
          <w:p>
            <w:pPr>
              <w:spacing w:after="0"/>
              <w:rPr>
                <w:sz w:val="14"/>
                <w:szCs w:val="14"/>
                <w:color w:val="auto"/>
              </w:rPr>
            </w:pPr>
          </w:p>
        </w:tc>
        <w:tc>
          <w:tcPr>
            <w:tcW w:w="176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35.2%</w:t>
            </w:r>
          </w:p>
        </w:tc>
        <w:tc>
          <w:tcPr>
            <w:tcW w:w="0" w:type="dxa"/>
            <w:vAlign w:val="bottom"/>
          </w:tcPr>
          <w:p>
            <w:pPr>
              <w:spacing w:after="0"/>
              <w:rPr>
                <w:sz w:val="1"/>
                <w:szCs w:val="1"/>
                <w:color w:val="auto"/>
              </w:rPr>
            </w:pPr>
          </w:p>
        </w:tc>
      </w:tr>
    </w:tbl>
    <w:p>
      <w:pPr>
        <w:sectPr>
          <w:pgSz w:w="11900" w:h="16960" w:orient="portrait"/>
          <w:cols w:equalWidth="0" w:num="1">
            <w:col w:w="9019"/>
          </w:cols>
          <w:pgMar w:left="1440" w:top="270" w:right="1440" w:bottom="0" w:gutter="0" w:footer="0" w:header="0"/>
        </w:sectPr>
      </w:pPr>
    </w:p>
    <w:bookmarkStart w:id="46" w:name="page47"/>
    <w:bookmarkEnd w:id="4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70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51,236,068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51,236,068</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7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70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Investments in Securities</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208.3%</w:t>
            </w:r>
          </w:p>
        </w:tc>
        <w:tc>
          <w:tcPr>
            <w:tcW w:w="0" w:type="dxa"/>
            <w:vAlign w:val="bottom"/>
          </w:tcPr>
          <w:p>
            <w:pPr>
              <w:spacing w:after="0"/>
              <w:rPr>
                <w:sz w:val="1"/>
                <w:szCs w:val="1"/>
                <w:color w:val="auto"/>
              </w:rPr>
            </w:pPr>
          </w:p>
        </w:tc>
      </w:tr>
      <w:tr>
        <w:trPr>
          <w:trHeight w:val="20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441,639,667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302,967,413</w:t>
            </w:r>
          </w:p>
        </w:tc>
        <w:tc>
          <w:tcPr>
            <w:tcW w:w="5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5" w:lineRule="auto"/>
        <w:tabs>
          <w:tab w:leader="none" w:pos="8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is determined in good faith by the Board of Directors of the Company.</w:t>
      </w:r>
    </w:p>
    <w:p>
      <w:pPr>
        <w:spacing w:after="0" w:line="12"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portfolio includes approximately $34.0 million of principal amount of debt investments and 7,863,657 shares of preferred stock investments which contain an active payment-in-kind (“PIK”) provision.</w:t>
      </w: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bear interest at variable rates and are subject to an interest rate floor where disclosed. The rate disclosed is as of December 31, 2025.</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value reflects accretion of original issue discount or market discount, or amortization of premium.</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value reflects repayment of principal.</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Non-income producing as of December 31, 2025.</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reflects accretion of effective yield less any cash distributions received or entitled to be received from collateralized loan obligation (“CLO”) equity investments.</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not domiciled in the United States.</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includes the Company’s interest in subordinated fee notes and represents discounted cash flows associated with fees earned from CLO equity investments.</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investments represent greater than 5% of net assets.</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balance outstanding for this investment, in whole or in part, is indexed to 90-day SOFR.</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this preferred equity investment was on non-accrual status and no dividend income has been recognized on this investment during the year ended December 31, 2025. The aggregate fair value of these investments was approximately $5.0 million.</w:t>
      </w:r>
    </w:p>
    <w:p>
      <w:pPr>
        <w:jc w:val="both"/>
        <w:ind w:left="880" w:right="459" w:hanging="426"/>
        <w:spacing w:after="0" w:line="268"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spacing w:after="0" w:line="184"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equivalents held in a money market fund as of December 31, 2025.</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investment was determined using significant unobservable inputs.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holds preferred stock in UniTek Global Services, Inc. that is entitled to receive cumulative preferential dividends at a rate of 20.0% per annum payable in additional shares.</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is co-invested with the Company’s affiliates.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balance outstanding for this investment, in whole or in part, is indexed to 30-day SOFR.</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value reflects amortization.</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effective yield has been estimated to be 0%. The aggregate projected amount of future recurring distributions and terminal principal payment is less than the amortized investment cost.</w:t>
      </w:r>
    </w:p>
    <w:p>
      <w:pPr>
        <w:jc w:val="both"/>
        <w:ind w:left="880" w:right="459" w:hanging="426"/>
        <w:spacing w:after="0" w:line="264"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ind w:left="880" w:right="479" w:hanging="426"/>
        <w:spacing w:after="0" w:line="288" w:lineRule="auto"/>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SAFE investment in Infinity Constellation Inc. is not debt (no stated interest or maturity) and provides the right to receive equity in the future upon a qualifying equity financing.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management of our investment portfolio is the responsibility of Oxford Square Management, and our investment adviser’s investment committee, which currently consists of Jonathan H. Cohen, our Chief Executive Officer and Saul B. Rosenthal, our President and Chief Operating Officer. Our investment adviser’s Investment Committee must approve each new investment that we make. The members of our investment adviser’s Investment Committee are not employed by us and receive no compensation from us in connection with their portfolio management activities. Messrs. Cohen and Rosenthal, through their ownership of Oxford Funds, the managing member of Oxford Square Management, are entitled to a portion of any investment advisory fees paid by OXSQ to Oxford Square Management.</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Because Oxford Square Management currently provides portfolio management services only to us, we do not believe there are any conflicts of interest with respect to Oxford Square Management’s management of our portfolio on the one hand, and the management of other accounts or investment vehicles by affiliates of Oxford Square Management on the other. However, Mr. Cohen serves as Chief Executive Officer and Mr. Rosenthal serves as President of Oxford Lane Capital Corp., a non-diversified closed-end management investment company. Oxford Funds is the managing member of Oxford Lane Management, LLC (“Oxford Lane Management”), the investment adviser for Oxford Lane Capital Corp. Since 2018, Mr. Cohen has also served as the Chief Executive Officer of Oxford Gate Management, LLC (“Oxford Gate Management”), the investment adviser to Oxford Gate Master Fund, LLC, Oxford Gate, LLC and Oxford Gate (Bermuda), LLC (collectively, the “Oxford Gate Funds”) and Oxford Bridge II, LLC. Oxford Bridge II, LLC and the Oxford Gate Funds are private investment funds. Mr. Rosenthal has also served as President of Oxford Gate Management, the investment adviser to the Oxford Gate Funds and Oxford Bridge II, LLC, since 2018. Since 2023, Mr. Cohen has also served as Chief Executive Officer of Oxford Park Income Fund, Inc., a non-diversified closed-end management investment company, and Oxford Park Management, LLC (“Oxford Park Management”), Oxford Park Income Fund, Inc.’s investment adviser, and Mr. Rosenthal has served as President of Oxford Park Income Fund, Inc. and Oxford Park Management since 2023. Mr. Cohen also serves on our Board of Directors, as well as the boards of directors of Oxford Lane Capital Corp. and Oxford Park Income Fund, Inc., and Mr. Rosenthal also serves on the boards of directors of Oxford Lane Capital Corp. and Oxford Park Income Fund, Inc. As a result, certain conflicts of interest may arise with respect to the management of our portfolio by Messrs. Cohen and Rosenthal on the one hand, and the obligations of Messrs. Cohen and Rosenthal to manage Oxford Lane Capital Corp., Oxford Park Income Fund, Inc., Oxford Bridge II, LLC and the Oxford Gate Funds, respectively, on the other hand.</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Set forth below is additional information regarding the additional entities that are managed by Messrs.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Cohen and Rosenthal:</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2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21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Investment Focus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Gross Assets</w:t>
            </w:r>
            <w:r>
              <w:rPr>
                <w:rFonts w:ascii="Times New Roman" w:cs="Times New Roman" w:eastAsia="Times New Roman" w:hAnsi="Times New Roman"/>
                <w:sz w:val="18"/>
                <w:szCs w:val="18"/>
                <w:b w:val="1"/>
                <w:bCs w:val="1"/>
                <w:color w:val="auto"/>
                <w:vertAlign w:val="superscript"/>
              </w:rPr>
              <w:t>(1)</w:t>
            </w:r>
          </w:p>
        </w:tc>
      </w:tr>
      <w:tr>
        <w:trPr>
          <w:trHeight w:val="195"/>
        </w:trPr>
        <w:tc>
          <w:tcPr>
            <w:tcW w:w="228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Oxford Lane Capital Corp.</w:t>
            </w:r>
          </w:p>
        </w:tc>
        <w:tc>
          <w:tcPr>
            <w:tcW w:w="10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Closed-end management</w:t>
            </w:r>
          </w:p>
        </w:tc>
        <w:tc>
          <w:tcPr>
            <w:tcW w:w="10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Debt and equity investments</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2,312,519,870</w:t>
            </w:r>
          </w:p>
        </w:tc>
      </w:tr>
      <w:tr>
        <w:trPr>
          <w:trHeight w:val="216"/>
        </w:trPr>
        <w:tc>
          <w:tcPr>
            <w:tcW w:w="228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company</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CLO vehicles and other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55"/>
        </w:trPr>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corporate debt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Oxford Park Income Fund, Inc.</w:t>
            </w:r>
          </w:p>
        </w:tc>
        <w:tc>
          <w:tcPr>
            <w:tcW w:w="22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Closed-end management</w:t>
            </w:r>
          </w:p>
        </w:tc>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Debt and equity investments</w:t>
            </w:r>
          </w:p>
        </w:tc>
        <w:tc>
          <w:tcPr>
            <w:tcW w:w="2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2"/>
              <w:spacing w:after="0" w:line="198" w:lineRule="exact"/>
              <w:rPr>
                <w:sz w:val="20"/>
                <w:szCs w:val="20"/>
                <w:color w:val="auto"/>
              </w:rPr>
            </w:pPr>
            <w:r>
              <w:rPr>
                <w:rFonts w:ascii="Times New Roman" w:cs="Times New Roman" w:eastAsia="Times New Roman" w:hAnsi="Times New Roman"/>
                <w:sz w:val="18"/>
                <w:szCs w:val="18"/>
                <w:color w:val="auto"/>
              </w:rPr>
              <w:t>71,227,280</w:t>
            </w:r>
          </w:p>
        </w:tc>
      </w:tr>
      <w:tr>
        <w:trPr>
          <w:trHeight w:val="216"/>
        </w:trPr>
        <w:tc>
          <w:tcPr>
            <w:tcW w:w="2280" w:type="dxa"/>
            <w:vAlign w:val="bottom"/>
          </w:tcPr>
          <w:p>
            <w:pPr>
              <w:spacing w:after="0"/>
              <w:rPr>
                <w:sz w:val="18"/>
                <w:szCs w:val="18"/>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company</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in CLO vehicles and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structured corporate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Oxford Gate Master Fund, LLC</w:t>
            </w:r>
          </w:p>
        </w:tc>
        <w:tc>
          <w:tcPr>
            <w:tcW w:w="2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Private fund</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debt and equity</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90,938,440</w:t>
            </w:r>
            <w:r>
              <w:rPr>
                <w:rFonts w:ascii="Times New Roman" w:cs="Times New Roman" w:eastAsia="Times New Roman" w:hAnsi="Times New Roman"/>
                <w:sz w:val="20"/>
                <w:szCs w:val="20"/>
                <w:color w:val="auto"/>
                <w:vertAlign w:val="superscript"/>
              </w:rPr>
              <w:t>(2)</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gross assets as of December 31, 2025.</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gross assets of Oxford Gate, LLC and Oxford Gate (Bermuda), LLC.</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Personnel</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investment adviser is led by Jonathan H. Cohen, our Chief Executive Officer, and Saul B. Rosenthal, our President and Chief Operating Officer. We consider Messrs. Cohen and Rosenthal, who are the members of our investment adviser’s Investment Committee, to be our portfolio managers.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table below shows the dollar range of shares of common stock owned by each of our portfolio managers as of December 31, 2025.</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Range of</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Securities</w:t>
            </w:r>
          </w:p>
        </w:tc>
      </w:tr>
      <w:tr>
        <w:trPr>
          <w:trHeight w:val="203"/>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Oxford Square</w:t>
            </w:r>
          </w:p>
        </w:tc>
      </w:tr>
      <w:tr>
        <w:trPr>
          <w:trHeight w:val="255"/>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Portfolio Manager</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Capital Corp.</w:t>
            </w:r>
            <w:r>
              <w:rPr>
                <w:rFonts w:ascii="Times New Roman" w:cs="Times New Roman" w:eastAsia="Times New Roman" w:hAnsi="Times New Roman"/>
                <w:sz w:val="18"/>
                <w:szCs w:val="18"/>
                <w:b w:val="1"/>
                <w:bCs w:val="1"/>
                <w:color w:val="auto"/>
                <w:w w:val="94"/>
                <w:vertAlign w:val="superscript"/>
              </w:rPr>
              <w:t>(1)(2)</w:t>
            </w:r>
          </w:p>
        </w:tc>
      </w:tr>
      <w:tr>
        <w:trPr>
          <w:trHeight w:val="248"/>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$1,000,000</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Over $1,000,000</w:t>
            </w:r>
          </w:p>
        </w:tc>
      </w:tr>
      <w:tr>
        <w:trPr>
          <w:trHeight w:val="300"/>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73" w:lineRule="exact"/>
        <w:rPr>
          <w:sz w:val="20"/>
          <w:szCs w:val="20"/>
          <w:color w:val="auto"/>
        </w:rPr>
      </w:pPr>
    </w:p>
    <w:p>
      <w:pPr>
        <w:ind w:left="880" w:right="479" w:hanging="426"/>
        <w:spacing w:after="0" w:line="269"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ranges are as follows: None, $1 – $10,000, $10,001 – $50,000, $50,001 – $100,000, $100,001 – $500,000; $500,001 – $1,000,000 or Over $1,000,000.</w:t>
      </w:r>
    </w:p>
    <w:p>
      <w:pPr>
        <w:jc w:val="both"/>
        <w:ind w:left="880" w:right="459" w:hanging="426"/>
        <w:spacing w:after="0" w:line="276"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range of equity securities beneficially owned in us is based on the closing price for our common stock of $1.91 on April 14, 2026 on the NASDAQ Global Select Market. Beneficial ownership has been determined in accordance with Rule 16a-1(a)(2) of the Exchange Act.</w:t>
      </w:r>
    </w:p>
    <w:p>
      <w:pPr>
        <w:spacing w:after="0" w:line="10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pertains to the members of Oxford Square Management’s investment team who are not executive officers of OXSQ:</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Kevin P. Yonon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Yonon is a Managing Director, Portfolio Manager of Oxford Square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also holds the same position at Oxford Lane Management, Oxford Gate Management and Oxford Park Management. Previously, Mr. Yonon was an Associate at Deutsche Bank Securities and prior to that he was an Analyst at Blackstone Mezzanine Partners. Before joining Blackstone, he worked as an Analyst at Merrill Lynch in the Mergers &amp; Acquisitions group. Mr. Yonon received a B.S. in Economics with concentrations in Finance and Accounting from the Wharton School at the University of Pennsylvania, where he graduated magna cum laude, and an M.B.A. from the Harvard Business School.</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Kupka. </w:t>
      </w:r>
      <w:r>
        <w:rPr>
          <w:rFonts w:ascii="Times New Roman" w:cs="Times New Roman" w:eastAsia="Times New Roman" w:hAnsi="Times New Roman"/>
          <w:sz w:val="18"/>
          <w:szCs w:val="18"/>
          <w:color w:val="auto"/>
        </w:rPr>
        <w:t>Mr. Kupka is a Managing Director of Oxford Square Management, and also holds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position at Oxford Lane Management, Oxford Gate Management and Oxford Park Management. Previously, he worked as a risk analyst for First Equity Card Corporation. He has a B.S. in Mechanical Engineering from the University of Pennsylvania, where he was the Abel and Bernstein Class of 1945 Scholarship Recipient.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Hooman Banafsheha. </w:t>
      </w:r>
      <w:r>
        <w:rPr>
          <w:rFonts w:ascii="Times New Roman" w:cs="Times New Roman" w:eastAsia="Times New Roman" w:hAnsi="Times New Roman"/>
          <w:sz w:val="18"/>
          <w:szCs w:val="18"/>
          <w:color w:val="auto"/>
        </w:rPr>
        <w:t>Mr. Banafsheha is a Principal of Oxford Square Management, and also holds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position at Oxford Lane Management, Oxford Gate Management and Oxford Park Management. Previously, Mr. Banafsheha was a Vice President in the Finance division of Goldman Sachs. Prior to joining Goldman Sachs, he was a Senior Consultant at Deloitte. Mr. Banafsheha received a B.S. in Business Administration with a concentration in Finance from the State University of New York, University at Albany, where he graduated magna cum laude, and an M.B.A. from the MIT Sloan School of Management. Mr. Banafsheha has also attained the Charted Alternative Investment Analyst (CAIA) designation.</w:t>
      </w:r>
    </w:p>
    <w:p>
      <w:pPr>
        <w:spacing w:after="0" w:line="115"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Aleska. </w:t>
      </w:r>
      <w:r>
        <w:rPr>
          <w:rFonts w:ascii="Times New Roman" w:cs="Times New Roman" w:eastAsia="Times New Roman" w:hAnsi="Times New Roman"/>
          <w:sz w:val="18"/>
          <w:szCs w:val="18"/>
          <w:color w:val="auto"/>
        </w:rPr>
        <w:t>Mr. Aleksa is a Vice President for Oxford Square Management, and also holds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at Oxford Lane Management, Oxford Gate Management and Oxford Park Management. Previously, Mr. Aleksa was a Senior Analyst in the Capital Markets group at CBA Commercial. He received a B.A. in Accounting and Finance from Franklin &amp; Marshall College. Mr. Aleksa is also a CFA charterholder.</w:t>
      </w:r>
    </w:p>
    <w:p>
      <w:pPr>
        <w:spacing w:after="0" w:line="95"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Vallie. </w:t>
      </w:r>
      <w:r>
        <w:rPr>
          <w:rFonts w:ascii="Times New Roman" w:cs="Times New Roman" w:eastAsia="Times New Roman" w:hAnsi="Times New Roman"/>
          <w:sz w:val="18"/>
          <w:szCs w:val="18"/>
          <w:color w:val="auto"/>
        </w:rPr>
        <w:t>Mr. Vallie is an Associate for Oxford Square Management, and also holds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at Oxford Lane Management, Oxford Gate Management and Oxford Park Management. Previously, Mr. Vallie was an Operations Associate on the Operations team at Chilton Investment Company. He received a B.A. in Economics from Marist College.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None of Oxford Square Management’s investment personnel receive any direct compensation from us in connection with the management of our portfolio. Messrs. Cohen and Rosenthal, through their ownership interest in Oxford Funds, the managing member of Oxford Square Management, are entitled to a portion of any profits earned by Oxford Square Management, which includes any fees payable to Oxford Square Management under the terms of the Investment Advisory Agreement, less expenses incurred by Oxford Square Management in performing its services under the Investment Advisory Agreement. Messrs. Cohen and Rosenthal do not receive any additional compensation from Oxford Square Management in connection with the management of our portfolio. The compensation paid by Oxford Square Management to its other investment personnel includes: (i) annual base salary and (ii) portfolio-based performance award.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48" w:lineRule="exact"/>
        <w:rPr>
          <w:sz w:val="20"/>
          <w:szCs w:val="20"/>
          <w:color w:val="auto"/>
        </w:rPr>
      </w:pPr>
    </w:p>
    <w:p>
      <w:pPr>
        <w:jc w:val="both"/>
        <w:ind w:left="460" w:right="479" w:firstLine="43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titled “Proposal 1: Election of Director” and “Corporate Governance” in our most recent definitive proxy statement on </w:t>
      </w:r>
      <w:hyperlink r:id="rId12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July 8, 2025, for our annual meeting of stockholders (the “Annual Proxy Statement”) and the information in Part III, Item 10 “Directors, Executive Officers and Corporate Governance” in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is incorporated herein by reference.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148" w:lineRule="exact"/>
        <w:rPr>
          <w:sz w:val="20"/>
          <w:szCs w:val="20"/>
          <w:color w:val="auto"/>
        </w:rPr>
      </w:pPr>
    </w:p>
    <w:p>
      <w:pPr>
        <w:jc w:val="both"/>
        <w:ind w:left="460" w:right="459"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titled “Investment Advisory Agreement” and “Administration Agreement,” in Part I, Item 1 “Business” of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is incorporated herein by reference.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148" w:lineRule="exact"/>
        <w:rPr>
          <w:sz w:val="20"/>
          <w:szCs w:val="20"/>
          <w:color w:val="auto"/>
        </w:rPr>
      </w:pPr>
    </w:p>
    <w:p>
      <w:pPr>
        <w:jc w:val="both"/>
        <w:ind w:left="460" w:right="459" w:firstLine="432"/>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titled “Transactions with Related Persons” in our most recent Annual Proxy Statement and the section titled “Transactions with Related Persons” in Part III, Item 13 “Certain </w:t>
      </w:r>
      <w:hyperlink r:id="rId57">
        <w:r>
          <w:rPr>
            <w:rFonts w:ascii="Times New Roman" w:cs="Times New Roman" w:eastAsia="Times New Roman" w:hAnsi="Times New Roman"/>
            <w:sz w:val="18"/>
            <w:szCs w:val="18"/>
            <w:color w:val="auto"/>
          </w:rPr>
          <w:t xml:space="preserve">Relationships and Related Transactions, and Director Independence”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December 31, 2025, filed with the SEC on March 6, 2026, is incorporated herein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148" w:lineRule="exact"/>
        <w:rPr>
          <w:sz w:val="20"/>
          <w:szCs w:val="20"/>
          <w:color w:val="auto"/>
        </w:rPr>
      </w:pPr>
    </w:p>
    <w:p>
      <w:pPr>
        <w:jc w:val="both"/>
        <w:ind w:left="460" w:right="479" w:firstLine="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titled “Proposal 1: Election of Director” and “Security Ownership of Certain Beneficial Owners and Management” in our most recent Annual Proxy Statement on </w:t>
      </w:r>
      <w:hyperlink r:id="rId12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July 8, 2025, and the information in the section titled “Director and Executive Officer Information” in Part III, Item 10 “Directors, Executive Officers and Corporate Governance” and the information in Part III, Item 12 “Security Ownership of Certain Beneficial Owners and Management and Related Stockholder Matters” in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determine the net asset value per share of our common stock quarterly, or more frequently if required under the 1940 Act, by dividing the value of total assets minus liabilities by the total number of shares outstanding. The information in the section titled “Critical Accounting Estimates — Investment Valuation” in Part I, Item 2 “Management’s Discussion and Analysis of Financial Condition and Results of Operations” and in “Note 3 — Summary of Significant Accounting Policies — Investment Valuation” in our financial statements, each in our most recent Annual Report on Form 10-K for the fiscal year ended December 31, 2025, filed with the SEC on March 6, 2026,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REINVESTMENT PLAN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adopted a distribution reinvestment plan, through which all distributions (net of applicable withholding tax)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receive a distribution in shares of our common stock. A registered stockholder may elect to receive an entire distribution in cash by notifying Computershare Trust Company, N.A., the plan administrator and our transfer agent and registrar,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use primarily newly 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commissions from the proceeds.</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plan may be terminated by us upon notice in writing mailed to each participant at least 30 days prior to any record date for the payment of any distribution by us. All correspondence concerning the plan should be directed to the plan administrator by mail at 250 Royall Street, Canton, MA 02021 or by phone at 1-800-426-5523.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us and to an investment in shares of our common stock.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a trader in securities that elects to use a market-to-market method of accounting for its securities holdings, pension plans and trusts, and financial institutions. This summary assumes that investors hold our shares of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who is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139" w:lineRule="exact"/>
        <w:rPr>
          <w:sz w:val="20"/>
          <w:szCs w:val="20"/>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U.S., any state thereof or the District of Columbia;</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U.S. is able to exercise primary supervision over the administration of the trust and one or more U.S. persons have the authority to control all substantive decisions of the trust;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“Non-U.S. stockholder” generally is a beneficial owner of shares of our common stock who is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139"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in either case is not subject to U.S. federal income tax on a net income basis on income or gain from a note.</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his, her or its tax advisers with respect to the purchase, ownership and disposition of shares of our common stock.</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a BDC, we have elected to be treated, and intend to qualify annually, as a RIC under Subchapter M of the Code, beginning with our 2003 taxable year. As a RIC, we generally will not be subject to U.S. federal income tax on any ordinary income or capital gains that we timely distribute to our stockholders as dividends. To continue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is generally our ordinary income plus the excess of our realized net short-term capital gains over our realized net long-term capital losses (the “Annual Distribution Requirement”).</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as a RIC</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qualify as a RIC, and satisfy the Annual Distribution Requirement, then we will not be subject to U.S. federal income tax on the portion of our investment company taxable income and net capital gain (i.e., realized net long-term capital gains in excess of realized net short-term capital losses) we timely distribute to stockholders. We will be subject to U.S. federal income tax at the regular corporate rates on any income or capital gains not distributed (or deemed distributed) to our stockholders.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and net capital gain that we recognized in preceding years but were not distributed in such years, and on which we paid no U.S. federal income tax (the “Excise Tax Avoidance Requirement”). We generally will endeavor in each taxable year to make sufficient distributions to our stockholders to satisfy the Excise Tax Avoidance Requirement.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order to qualify as a RIC for U.S. federal income tax purposes, we must, among other things: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each taxable year, be registered under the 1940 Act as a management company or unit investment trust, or have in effect an election under the 1940 Act to be treated as a BDC;</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loans of certain securities, gains from the sale of stock or other securities, net income from certain “qualified publicly traded partnerships,” or other income derived with respect to our business of investing in such stock or securities (the “90% Income Test”);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112" w:lineRule="exact"/>
        <w:rPr>
          <w:rFonts w:ascii="Times New Roman" w:cs="Times New Roman" w:eastAsia="Times New Roman" w:hAnsi="Times New Roman"/>
          <w:sz w:val="18"/>
          <w:szCs w:val="18"/>
          <w:color w:val="auto"/>
        </w:rPr>
      </w:pPr>
    </w:p>
    <w:p>
      <w:pPr>
        <w:jc w:val="both"/>
        <w:ind w:left="1760" w:right="479" w:hanging="442"/>
        <w:spacing w:after="0" w:line="256" w:lineRule="auto"/>
        <w:tabs>
          <w:tab w:leader="none" w:pos="17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(i) the securities, other than U.S. government securities or securities of other RICs, of any one issuer; (ii) the securities, other than securities of other RICs, of two or more issuers that are controlled, as determined under applicable Code rules, by us and that are engaged in the same or similar or related trades or businesses; or (iii) the securities of certain “qualified publicly traded partnerships” (the “Diversification Tests”).</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or the Excise Tax Avoidance Requirement, even though we will not have received any corresponding cash amount. In addition, we may be required to accrue for U.S. federal income tax purposes amounts attributable to our investment in CLOs that may differ from the distributions received in respect of such investments. Although we do not presently expect to do so, we are authorized to borrow funds, to sell assets and to make taxable distributions of our stock and debt securities in order to satisfy distribution requirements.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 If we are unable to obtain cash from other sources to satisfy the Annual Distribution Requirement, we may fail to qualify for tax treatment as a RIC and become subject to tax as a corporation.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1940 Act, we are not permitted to make distributions to our stockholders while our debt obligations and other senior securities are outstanding unless certain “asset coverage” tests are met. If we are prohibited from making distributions, we may fail to qualify for tax treatment as a RIC and become subject to tax as an ordinary corporation.</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purchased and may in the future purchase residual or subordinated interests in CLOs that are treated for U.S. federal income tax purposes as shares in a “passive foreign investment company” or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stockholders. If we elect to treat a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shares during that year, and such income will nevertheless be subject to the Annual Distribution Requirement and will be taken into account for purposes of the Excise Tax Avoidance Requirement.</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hold 10% or more of the shares in a foreign corporation that is treated as a controlled foreign corporation or a CFC (including equity tranche investments in a CLO treated as a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This deemed distribution is required to be included in the income of a U.S. Stockholder (as defined below) of a CFC regardless of whether the stockholder has made a QEF election with respect to such CFC. In general, a foreign corporation will be classified as a CFC if more than 50% of the shares of the corporation, measured by reference to combined voting power or value, is owned (directly, indirectly or by attribution) by U.S. Stockholders. A “U.S. Stockholder,” for this purpose, is any U.S. person that possesses (actually or constructively) 10% or more of the combined voting power or value of all classes of shares of a foreign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the Excise Tax Avoidance Requirement.</w:t>
      </w:r>
    </w:p>
    <w:p>
      <w:pPr>
        <w:spacing w:after="0" w:line="11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Income inclusions from a QEF or a CFC will be “good income” for purposes of the 90% Income Test provided that they are derived in connection with our business of investing in stocks and securities or the QEF or the CFC distributes such income to us out of its earnings and profits attributable to such income inclusion in the same taxable year to which the income is included in our income.</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stockholders taxed at individual rates are attributable to dividends from U.S. corporations and certain qualified foreign corporations, such distributions (“Qualifying Dividends”) may be eligible for a current maximum tax rate of 20%. In this regard, it is anticipated that distributions paid by us will generally not be attributable to dividends and, therefore, generally will not qualify for the current 20% maximum rate applicable to Qualifying Dividends. Distributions of our net capital gains (which are generally our realized net long-term capital gains in excess of realized net short-term capital losses) and properly reported by us as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“capital gain dividends” will be taxable to a U.S. stockholder as long-term capital gains that are currently taxable at a maximum rate of 20% in the case of stockholders taxed at individual rates,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the U.S. stockholder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retain some or all of our realized net long-term capital gains in excess of realized net short-term capital losses, but designate the retained net capital gain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amount of tax owed on the capital gain distribution, such excess generally may be refunded or claimed as a credit against the U.S. stockholder’s other U.S. federal income tax obligations. The amount of the deemed distribution net of such tax will be added to the U.S. stockholder’s cost basis for his, her or its common stock.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U.S. stockholder generally will recognize taxable gain or loss if the U.S. stockholder sells or otherwise disposes of his, her or its shares of our common stock. The amount of gain or loss will be measured by the difference between such U.S. stockholder’s adjusted tax basis in the common stock sold and the amount of the proceeds received in exchange. Any gain or loss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general, U.S. stockholders taxed at individual rates currently are subject to a maximum U.S. federal income tax rate of 20% on their net capital gain (i.e., the excess of realized net long-term capital gains over realized net short-term capital losses), including any long-term capital gain derived from an investment in our shares. Such rate is lower than the maximum rate on ordinary income currently payable by such U.S. stockholders. In addition, individuals with modified adjusted gross incomes in excess of $200,000 ($250,000 in the case of married individuals filing jointly)</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each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to the IRS and to taxpayers. U.S. stockholders should contact their financial intermediaries with respect to reporting of cost basis and available elections for their accounts.</w:t>
      </w:r>
    </w:p>
    <w:p>
      <w:pPr>
        <w:spacing w:after="0" w:line="10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or the applicable withholding agent will send to each of our U.S. stockholders,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dividends, if any, eligible for the current 20%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or the applicable withholding agent may be required to withhold U.S. federal income tax (“backup withholding”) from all distributions to any U.S. stockholder (other than a corporation, a financial institution, or a stockholder that otherwise qualifies for an exemption) (1) who fails to furnish us, or the applicable withholding agent, with a correct taxpayer identification number or a certificate that such stockholder is exempt from backup withholding or (2) with respect to whom the IRS notifies us, or the applicable withholding agent, that such stockholder has failed to properly report certain interest and dividend income to the IRS and to respond to notices to that effect. An individual’s taxpayer identification number is his or her social security number. Any amount withheld under backup withholding is generally allowed as a credit against the U.S. stockholder’s U.S. federal income tax liability, provided that proper information is provided to the IRS.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U.S. stockholders that hold their common stock through foreign accounts or intermediaries will be subject to U.S. withholding tax at a rate of 30% on dividends if certain disclosure requirements related to U.S. accounts are not satisfied.</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Treasury regulations, if a U.S. stockholder recognizes a loss with respect to shares of $2 million or more for an individual U.S. stockholder or $10 million or more for a corporate U.S. stockholder, the U.S. stockholder must file with the IRS a disclosure statement on IRS Form 8886. Direct owners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U.S. stockholders should consult their tax advisors to determine the applicability of these regulations in light of their individual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are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U.S. federal income tax unless the distributions or gains, as the case may be, are effectively connected with a U.S. trade or business of the Non-U.S. stockholder.</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tax, may be subject to information reporting and backup withholding of U.S. federal income tax on dividends unless the Non-U.S. stockholder provides us or the applicable withholding agent with an IRS Form W-8BEN or W-8BEN-E (or an acceptable substitute form) or otherwise meets documentary evidence requirements for establishing that it is a Non-U.S. stockholder or otherwise establishes an exemption from backup withholding. In addition, dividend reinvestments will be made net of any applicable U.S. withholding taxes.</w:t>
      </w:r>
    </w:p>
    <w:p>
      <w:pPr>
        <w:spacing w:after="0" w:line="108"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and proceeds from the sale of their shares. Under certain circumstances, a Non-U.S. stockholder might be eligible for refunds or credits of such taxes.</w:t>
      </w:r>
    </w:p>
    <w:p>
      <w:pPr>
        <w:spacing w:after="0" w:line="12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advisers with respect to the U.S. federal income tax and withholding tax, and state, local and foreign tax consequences of an investment in the shares.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 as a RIC</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were unable to qualify for treatment as a RIC, and certain cure provisions are not met,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adjusted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would be subject to tax on any unrealized net built-in gains in the assets held by us during the period in which we failed to qualify as a RIC that are recognized within the subsequent 5 years, unless we made a special election to pay U.S. federal income tax at corporate rates on such built-in gains at the time of our requalification as a RIC.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prospectus contains a summary of the common stock, preferred stock, subscription rights, warrants and debt securities. These summaries are not meant to be a complete description of each security. However, this prospectus and any accompanying prospectus supplement will contain the material terms and conditions for each security.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description is based in part on relevant portions of the Maryland General Corporation Law and on our charter and bylaws. While this summary describes the material provisions of the Maryland General Corporation Law applicable to holders of our capital stock, as well as the material provisions of our charter and bylaws, it is not necessarily complete, and we refer you to the Maryland General Corporation Law and our charter and bylaws for a more detailed description of the provisions summarized below.</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stock, par value $0.01 per share, all of which is initially designated as common stock. We have listed our common stock on the NASDAQ Global Select Market under the ticker symbol “OXSQ.”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are our outstanding classes of our capital stock as of December 31, 2025:</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 Held by</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Exclusive of</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or for our</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Amounts Shown</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(3)</w:t>
            </w:r>
          </w:p>
        </w:tc>
      </w:tr>
      <w:tr>
        <w:trPr>
          <w:trHeight w:val="46"/>
        </w:trPr>
        <w:tc>
          <w:tcPr>
            <w:tcW w:w="4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2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86,060,964</w:t>
            </w:r>
          </w:p>
        </w:tc>
      </w:tr>
      <w:tr>
        <w:trPr>
          <w:trHeight w:val="36"/>
        </w:trPr>
        <w:tc>
          <w:tcPr>
            <w:tcW w:w="4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privileges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A plurality of all votes cast at a meeting of stockholders duly called and at which a quorum is present shall be sufficient to elect a director.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full two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 However, we do not currently have any plans to issue preferred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1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w:t>
      </w:r>
    </w:p>
    <w:p>
      <w:pPr>
        <w:spacing w:after="0" w:line="11" w:lineRule="exact"/>
        <w:rPr>
          <w:sz w:val="20"/>
          <w:szCs w:val="20"/>
          <w:color w:val="auto"/>
        </w:rPr>
      </w:pPr>
    </w:p>
    <w:p>
      <w:pPr>
        <w:ind w:left="460" w:right="479" w:hanging="6"/>
        <w:spacing w:after="0" w:line="260" w:lineRule="auto"/>
        <w:tabs>
          <w:tab w:leader="none" w:pos="7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him or her or on his or her behalf to repay the amount paid or reimbursed by the corporation if it is ultimately determined that the standard of conduct was not met.</w:t>
      </w:r>
    </w:p>
    <w:p>
      <w:pPr>
        <w:spacing w:after="0" w:line="11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insurance policy does not currently provide coverage for claims, liabilities and expenses that may arise out of activities that our present or former directors or officers have performed for another entity at our request. There is no assurance that such entities will in fact carry such insurance. However, we note that we do not expect to request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present or former directors or officers to serve another entity as a director, officer, partner or trustee unless we can obtain insurance providing coverage for such persons for any claims, liabilities or expenses that may arise out of their activities while serving in such capacities.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Provisions of the Maryland General Corporation Law and Our Charter and Bylaws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bylaws currently provide that a plurality of all votes cast at a meeting of stockholders duly called and at which a quorum is present shall be sufficient to elect a director. Pursuant to our charter, our Board of Directors may amend our bylaws to alter the vote required to elect directors.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charter provides that the number of directors is set only by our Board of Directors in accordance with our bylaws. Our bylaws provide that a majority of our entire Board of Directors may at any time increase or decrease the number of directors. However, the number of directors may never be less than one nor more than twelve.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Under Maryland law, a director on a classified board may be removed only for cause and then only by the affirmative vote of at least a majority of the votes entitled to be cast in the election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provides that stockholder action can be taken only at an annual or special meeting of stockholders or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our Board of Directors and the proposal of business to be considered by stockholders may be made only (1) pursuant to our notice of the meeting, (2) by or at the direction of our Board of Directors or (3) by any stockholder who was a stockholder of record both at the time of giving of notice and at the time of the annual meeting,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our Board of Directors at a special meeting may be made only (1) pursuant to our notice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of the meeting, (2) by or at the direction of our Board of Directors or (3) provided that our Board of Directors has determined that directors will be elected at the meeting, by any stockholder who was a stockholder of record both at the time of giving of notice and at the time of the annual meeting, is entitled to vote at the meeting and who has complied with the advance notice provisions of the bylaws.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certain provisions of our bylaws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or at the request of the Chairman of Board of Directors, the president or by a majority of the directors then in office.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Under our charter, provided that at least 75% of our directors then in office have approved and declared the action advisable and submitted such action to the stockholders, our dissolution, an amendment to our charter that requires stockholder approval, a merger, or a sale of all or substantially all of our assets or a similar transaction outside the ordinary course of business, must be approved by the affirmative vote of stockholders entitled to cast at least a majority of the votes entitled to be cast on the matter. If an extraordinary matter submitted to stockholders by our Board of Directors is approved and advised by less than 75% of our directors, such matter will require approval by the affirmative vote of stockholders entitled to cast at least two-thirds of the votes entitled to be cast on the matter.</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charter and bylaws provide that our Board of Directors will have the exclusive power to make, alter, amend or repeal any provision of our bylaws.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our Board of Directors shall determine such rights apply.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corporation acquired in a control share acquisition have no voting rights except to the extent approved by a vote of two-thirds of the votes entitled to be cast on the matter, or the “Control Share Act.” Shares owned by the acquirer, by officers or by directors who are employees of the corporation are excluded from shares entitled to vote on the matter. Control shares are voting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112"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the SEC staff does not object to our determination that our being subject to the Control Share Act does not conflict with the 1940 Act and such amendment otherwise complies with applicable law. The SEC had previously issued informal guidance setting forth its position that certain provisions of the Control Share Act would, if implemented, violate Section 18(i) of the 1940 Act. The SEC subsequently withdrew this guidance and indicated that it would not recommend enforcement action against a company that implements a Control Share Act, if the decision by the board of a company to implement the Control Share Act was taken with reasonable care on a basis consistent with other applicable duties and laws and the duty to the fund and its stockholders generally.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or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06" w:lineRule="exact"/>
        <w:rPr>
          <w:sz w:val="20"/>
          <w:szCs w:val="20"/>
          <w:color w:val="auto"/>
        </w:rPr>
      </w:pPr>
    </w:p>
    <w:p>
      <w:pPr>
        <w:ind w:left="1320" w:right="45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the corporation’s outstanding voting stock;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our Board of Directors approved in advance the transaction by which the stockholder otherwise would have become an interested stockholder. However, in approving a transaction, our Board of Directors may provide that its approval is subject to compliance, at or after the time of approval, with any terms and conditions determined by the board.</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08" w:lineRule="exact"/>
        <w:rPr>
          <w:sz w:val="20"/>
          <w:szCs w:val="20"/>
          <w:color w:val="auto"/>
        </w:rPr>
      </w:pPr>
    </w:p>
    <w:p>
      <w:pPr>
        <w:ind w:left="1320" w:right="45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our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our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our Board of Directors determines that it would be in our best interests and if the SEC staff does not object to our determination that our being subject to the Business Combination Act does not conflict with the 1940 Act. If this resolution is repealed, or our Board of Directors does not otherwise approve a business combination, the statute may discourage others from trying to acquire control of us and increase the difficulty of consummating any offer.</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of Directors is required by Maryland law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50%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articles supplementary and the prospectus supplement relating to such series will describe:</w:t>
      </w:r>
    </w:p>
    <w:p>
      <w:pPr>
        <w:spacing w:after="0" w:line="81" w:lineRule="exact"/>
        <w:rPr>
          <w:sz w:val="20"/>
          <w:szCs w:val="20"/>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In accordance with the 1940 Act, any transferable subscription rights offering will entitle our record date stockholders at the time of such offering one right for each share of common stock held, entitling the rights holder to purchase one new share of common stock for a minimum of every three rights held.</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94" w:lineRule="exact"/>
        <w:rPr>
          <w:sz w:val="20"/>
          <w:szCs w:val="20"/>
          <w:color w:val="auto"/>
        </w:rPr>
      </w:pPr>
    </w:p>
    <w:p>
      <w:pPr>
        <w:jc w:val="both"/>
        <w:ind w:left="1320" w:right="47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may issue warrants representing rights to purchase shares of our common stock, preferred stock or debt securities. Such warrants may be issued independently or together with shares of common stock and may be attached or separate from such shares of common stock.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81" w:lineRule="exact"/>
        <w:rPr>
          <w:sz w:val="20"/>
          <w:szCs w:val="20"/>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issuable upon exercise of such warrants;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shares of common stock purchasable upon exercise of such warrants may be purchased;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number of such warrants issued with each share of common stock;</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shares of common stock will be separately transferable;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In connection with any debt offering, all of the material terms of the indenture and the supplemental indenture, as well as an explanation of your rights as a holder of debt securities, will be described in the prospectus supplement relating to such debt offering, which will include this prospectus together with the prospectus supplement accompanying this prospectus. See “Available Information” for information on how to obtain a copy of the indenture.</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by including:</w:t>
      </w:r>
    </w:p>
    <w:p>
      <w:pPr>
        <w:spacing w:after="0" w:line="94"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(as defined in “Events of Default” below);</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U.S. federal income tax implications, including, if applicable, U.S. federal income tax considerations relating to original issue discount;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if our asset coverage, as defined in the 1940 Act, is at least equal to 150% immediately after each such issuance after giving effect to any exemptive relief granted to us by the SEC. We may also borrow amounts up to 5% of the value of our total assets for temporary purposes without regard to asset coverage. For a discussion of the risks associated with leverage, See the section titled “Item 1A. Risk Factors — Risks Relating to Our Business and Structure — Regulations governing our operation as a BDC affect our ability to, and the way in which we raise additional capital, which may expose us to risks, including the typical risks associated with leverage” in our most recent Annual Report on Form 10-K, as well as in any of our subsequent SEC filings.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Except as described under “— Events of Default” and “— Merger or Consolidation” below, the indenture does not contain any provisions that give you protection in the event we issue a large amount of debt or we are acquired by another entity.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6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94" w:lineRule="exact"/>
        <w:rPr>
          <w:sz w:val="20"/>
          <w:szCs w:val="20"/>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 Termination of a Global Security.”</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Termination of a Global Security</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New York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58"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within 2 business days of its due date;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60 days;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108" w:lineRule="exact"/>
        <w:rPr>
          <w:sz w:val="20"/>
          <w:szCs w:val="20"/>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with respect to the relevant series of debt securities has occurred and remains uncured;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and/or security;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outstanding debt securities of that series must not have given the trustee a direction inconsistent with the above notice during that 60-day period.</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Holders of a majority in principal amount of the outstanding debt securities of the affected series may waive any past defaults other than a default</w:t>
      </w:r>
    </w:p>
    <w:p>
      <w:pPr>
        <w:spacing w:after="0" w:line="94"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any premium or interest;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convey or transfer our assets substantially as an entirety, the resulting entity or transferee must agree to be legally responsible for our obligations under the debt securities;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106"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94" w:lineRule="exact"/>
        <w:rPr>
          <w:sz w:val="20"/>
          <w:szCs w:val="20"/>
          <w:color w:val="auto"/>
        </w:rPr>
      </w:pPr>
    </w:p>
    <w:p>
      <w:pPr>
        <w:ind w:left="1320" w:right="45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or the terms of any sinking fund with respect to any security;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evidencing succession of another person to the Company and the assumption by any such successor of the covenants of the Company in the indenture and applicable to the debt securities,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58"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4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94" w:lineRule="exact"/>
        <w:rPr>
          <w:sz w:val="20"/>
          <w:szCs w:val="20"/>
          <w:color w:val="auto"/>
        </w:rPr>
      </w:pPr>
    </w:p>
    <w:p>
      <w:pPr>
        <w:jc w:val="both"/>
        <w:ind w:left="1320" w:right="479" w:hanging="434"/>
        <w:spacing w:after="0" w:line="266"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spacing w:after="0" w:line="121" w:lineRule="exact"/>
        <w:rPr>
          <w:sz w:val="20"/>
          <w:szCs w:val="20"/>
          <w:color w:val="auto"/>
        </w:rPr>
      </w:pPr>
    </w:p>
    <w:p>
      <w:pPr>
        <w:jc w:val="both"/>
        <w:ind w:left="1320" w:right="459" w:hanging="434"/>
        <w:spacing w:after="0" w:line="25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result in a default under, of the indenture or any of our other material agreements or instruments;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conditions for covenant defeasance contained in any supplemental indentures.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spacing w:after="0" w:line="112" w:lineRule="exact"/>
        <w:rPr>
          <w:sz w:val="20"/>
          <w:szCs w:val="20"/>
          <w:color w:val="auto"/>
        </w:rPr>
      </w:pPr>
    </w:p>
    <w:p>
      <w:pPr>
        <w:jc w:val="both"/>
        <w:ind w:left="1320" w:right="45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constitute a default under, of the indenture or any of our other material agreements or instruments;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conditions for full defeasance contained in any supplemental indentures.</w:t>
      </w:r>
    </w:p>
    <w:p>
      <w:pPr>
        <w:spacing w:after="0" w:line="14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58" w:lineRule="exact"/>
        <w:rPr>
          <w:sz w:val="20"/>
          <w:szCs w:val="20"/>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Indenture Provisions — Subordination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at any time is received by the holders of any subordinated debt securities or by the trustee in respect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94" w:lineRule="exact"/>
        <w:rPr>
          <w:sz w:val="20"/>
          <w:szCs w:val="20"/>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U.S. Bank Trust Company, National Association will serve as the trustee under the indenture.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Book-Entry Procedures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will be issued in book-entry form, and the Depository Trust Company,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wholly-owned subsidiary of The Depository Trust &amp; Clearing Corporation, or DTCC.</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Standard &amp; Poor’s Ratings Services’ highest rating: AA+.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www.dtc.org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the “Beneficial Owner,” is in turn to be recorded on the Direct and Indirect Participants’ records. Beneficial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0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depository with respect to the debt securities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8" w:lineRule="exact"/>
        <w:rPr>
          <w:sz w:val="20"/>
          <w:szCs w:val="20"/>
          <w:color w:val="auto"/>
        </w:rPr>
      </w:pPr>
    </w:p>
    <w:p>
      <w:pPr>
        <w:jc w:val="both"/>
        <w:ind w:left="460" w:right="479"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“Part I, Item 1. Business — Regulation as a Business Development Company” of our most recent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 is incorporated herein by reference.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offer, from time to time, in more than one offering or series, up to $300,000,000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to or through a market maker or into an existing trading market for the securities, on an exchange or otherwise, negotiated transactions, block trades, best efforts or a combination of these methods. The holders of our common stock will indirectly bear any fees and expenses in connection with any such offerings. We may sell securities through underwriters or dealers, directly to one or more purchasers, including existing stockholders in a rights offering,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securities will be named in the applicable prospectus supplement. A prospectus supplement or supplements will also describe the terms of the offering of securities, including: the purchase price of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or agents named in the prospectus supplement will be underwriters or agents of the securities offered by the prospectus supplement.</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(a) in connection with a rights offering to our existing stockholders, (b) with the consent of the majority of our common stockholders or (c) under such other circumstances as the SEC may permit. Any offering of securities by us that requires the consent of the majority of our common stockholders, must occur, if at all, within one year after receiving such consent. The price at which the securities may be distributed may represent a discount from prevailing market prices.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compensation to be received by any member of FINRA or independent broker-dealer, including any reimbursements to underwriters or agents for certain fees and legal expenses incurred by them, will not be greater than 8% of the gross proceeds of the sale of the securities offered pursuant to this prospectus and any applicable prospectus supplement.</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the securities and we will describe any commissions we will pay the agent in the prospectus supplement. Unless the prospectus supplement states otherwise, our agent will act on a best-efforts basis for the period of its appointment.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the 5.50% Unsecured Notes and the 7.75% Unsecured Notes, all of which are traded on The NASDAQ Global Select Market. We may elect to list any other class or series of securities on any exchanges, but we are not obligated to do so. We cannot guarantee the liquidity of the trading markets for any securities.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our securities offered hereby will be sold in such jurisdictions only through registered or licensed brokers or dealers.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upon for us by Dechert LLP, Washington, DC. Certain legal matters in connection with the offering will be passed upon for the underwriters, if any, by the counsel named in the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securities are held under a custody agreement by U.S. Bank National Association. The address of the custodian is 8 Greenway Plaza, Suite 1100, Houston, Texas 77046. Computershare Trust Company, N.A. acts as our transfer, distribution paying and reinvestment plan agent and registrar. The principal business address of our transfer agent, dividend paying and reinvestment plan agent and registrar is 250 Royall Street, Canton, MA 02021.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policies established by our Board of Directors, our investment adviser is responsible for the execution of securities transactions in our portfolio. The investment adviser in making decisions regarding the selection of broker-dealers used to find a buyer or seller for transactions, takes into account the following factors: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to the Company; and (vii) any other factors the investment adviser considers to be in the best interest of the Company.</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Neither the investment adviser nor the Company has any “soft dollars” arrangement in which a broker-dealer for commissions contracts with and pays a third party on behalf of the investment adviser so that the third party may provide research or brokerage services to the investment adviser. The investment adviser may receive research directly from the broker-dealers with whom it transacts. However, the investment adviser does not “pay up” for such information nor is receipt of the information a primary consideration in broker-dealer selection.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The registration statement contains additional information about us and the securities being offered by this prospectus.</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The information we file with the SEC is available free of charge by contacting us at 8 Sound Shore Drive, Suite 255, Greenwich, CT 06830 or by telephone at (203) 983-5275 or on our website at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The SEC also maintains a website that contains reports, proxy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information regarding registrants, including us, that file such information electronically with the SEC. The address of the SEC’s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Information contained on our website or on the SEC’s website about us is not incorporated into this prospectus and you should not consider information contained on our website or on the SEC’s website to be part of this prospectus.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if any, is terminated will automatically update and, where applicable, supersede any information contained in this prospectus or incorporated by reference in this prospectus.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if any,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if any. Information that we file with the SEC subsequent to the date of this prospectus will automatically update and may supersede information in this prospectus, any accompanying prospectus supplement, if any, and other information previously filed with the SEC.</w:t>
      </w:r>
    </w:p>
    <w:p>
      <w:pPr>
        <w:spacing w:after="0" w:line="121" w:lineRule="exact"/>
        <w:rPr>
          <w:sz w:val="20"/>
          <w:szCs w:val="20"/>
          <w:color w:val="auto"/>
        </w:rPr>
      </w:pPr>
    </w:p>
    <w:p>
      <w:pPr>
        <w:ind w:left="1320" w:right="459" w:hanging="434"/>
        <w:spacing w:after="0" w:line="282"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6, 2026;</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2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July 8, 2025;</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w:t>
      </w:r>
      <w:hyperlink r:id="rId57">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2025 (filed with the SEC on March 6, 2026), which updated the description thereof in our Registration Statement on </w:t>
      </w:r>
      <w:hyperlink r:id="rId3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000-50398), filed with the SEC on September 23, 2003, including any amendment or report filed for the purpose of updating such description prior to the termination of the offering registered hereby.</w:t>
      </w:r>
    </w:p>
    <w:p>
      <w:pPr>
        <w:spacing w:after="0" w:line="116" w:lineRule="exact"/>
        <w:rPr>
          <w:rFonts w:ascii="Times New Roman" w:cs="Times New Roman" w:eastAsia="Times New Roman" w:hAnsi="Times New Roman"/>
          <w:sz w:val="18"/>
          <w:szCs w:val="18"/>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periodic and current reports filed pursuant to Section 13 or 15(d) of the Exchange Act, as well as this prospectus are available on our website at </w:t>
      </w:r>
      <w:r>
        <w:rPr>
          <w:rFonts w:ascii="Times New Roman" w:cs="Times New Roman" w:eastAsia="Times New Roman" w:hAnsi="Times New Roman"/>
          <w:sz w:val="18"/>
          <w:szCs w:val="18"/>
          <w:i w:val="1"/>
          <w:iCs w:val="1"/>
          <w:color w:val="auto"/>
        </w:rPr>
        <w:t>www.oxfordsquarecapital.com</w:t>
      </w:r>
      <w:r>
        <w:rPr>
          <w:rFonts w:ascii="Times New Roman" w:cs="Times New Roman" w:eastAsia="Times New Roman" w:hAnsi="Times New Roman"/>
          <w:sz w:val="18"/>
          <w:szCs w:val="18"/>
          <w:color w:val="auto"/>
        </w:rPr>
        <w:t>. You may also request a copy of these filings (other than exhibits, unless the exhibits are specifically incorporated by reference into these documents) at no cost by writing or calling Investor Relations at the following address and telephone number:</w:t>
      </w:r>
    </w:p>
    <w:p>
      <w:pPr>
        <w:spacing w:after="0" w:line="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Oxford Square Capital Corp.</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 Sound Shore Drive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255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Greenwich, Connecticut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(203) 983-5275</w:t>
      </w:r>
    </w:p>
    <w:p>
      <w:pPr>
        <w:spacing w:after="0" w:line="139" w:lineRule="exact"/>
        <w:rPr>
          <w:rFonts w:ascii="Times New Roman" w:cs="Times New Roman" w:eastAsia="Times New Roman" w:hAnsi="Times New Roman"/>
          <w:sz w:val="18"/>
          <w:szCs w:val="18"/>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herein is accurate as of any date other than the date on the front of this prospectus or those documents.</w:t>
      </w:r>
    </w:p>
    <w:p>
      <w:pPr>
        <w:spacing w:after="0" w:line="14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296545</wp:posOffset>
            </wp:positionV>
            <wp:extent cx="651510" cy="805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5151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Oxford Square Capital Corp.</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Common Stock</w:t>
      </w:r>
    </w:p>
    <w:p>
      <w:pPr>
        <w:spacing w:after="0" w:line="25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5, 2026</w:t>
      </w:r>
    </w:p>
    <w:p>
      <w:pPr>
        <w:spacing w:after="0" w:line="5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0"/>
        <w:spacing w:after="0"/>
        <w:tabs>
          <w:tab w:leader="none" w:pos="5320" w:val="left"/>
        </w:tabs>
        <w:rPr>
          <w:sz w:val="20"/>
          <w:szCs w:val="20"/>
          <w:color w:val="auto"/>
        </w:rPr>
      </w:pPr>
      <w:r>
        <w:rPr>
          <w:rFonts w:ascii="Times New Roman" w:cs="Times New Roman" w:eastAsia="Times New Roman" w:hAnsi="Times New Roman"/>
          <w:sz w:val="25"/>
          <w:szCs w:val="25"/>
          <w:b w:val="1"/>
          <w:bCs w:val="1"/>
          <w:color w:val="auto"/>
        </w:rPr>
        <w:t>Lucid Capital Markets</w:t>
      </w:r>
      <w:r>
        <w:rPr>
          <w:sz w:val="20"/>
          <w:szCs w:val="20"/>
          <w:color w:val="auto"/>
        </w:rPr>
        <w:tab/>
      </w:r>
      <w:r>
        <w:rPr>
          <w:rFonts w:ascii="Times New Roman" w:cs="Times New Roman" w:eastAsia="Times New Roman" w:hAnsi="Times New Roman"/>
          <w:sz w:val="25"/>
          <w:szCs w:val="25"/>
          <w:b w:val="1"/>
          <w:bCs w:val="1"/>
          <w:color w:val="auto"/>
        </w:rPr>
        <w:t>Ladenburg Thalmann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212725</wp:posOffset>
            </wp:positionV>
            <wp:extent cx="514350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7"/>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00"/>
    </w:lvl>
  </w:abstractNum>
  <w:abstractNum w:abstractNumId="16">
    <w:nsid w:val="614FD4A1"/>
    <w:multiLevelType w:val="hybridMultilevel"/>
    <w:lvl w:ilvl="0">
      <w:lvlJc w:val="left"/>
      <w:lvlText w:val="%1"/>
      <w:numFmt w:val="decimal"/>
      <w:start w:val="500"/>
    </w:lvl>
  </w:abstractNum>
  <w:abstractNum w:abstractNumId="17">
    <w:nsid w:val="419AC241"/>
    <w:multiLevelType w:val="hybridMultilevel"/>
    <w:lvl w:ilvl="0">
      <w:lvlJc w:val="left"/>
      <w:lvlText w:val="%1"/>
      <w:numFmt w:val="decimal"/>
      <w:start w:val="300"/>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lvl w:ilvl="1">
      <w:lvlJc w:val="left"/>
      <w:lvlText w:val="•"/>
      <w:numFmt w:val="bullet"/>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jpe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jpe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34" Type="http://schemas.openxmlformats.org/officeDocument/2006/relationships/hyperlink" Target="http://www.sec.gov/ix?doc=/Archives/edgar/data/0001259429/000121390026024280/ea0276931_10k.htm" TargetMode="External"/><Relationship Id="rId35" Type="http://schemas.openxmlformats.org/officeDocument/2006/relationships/hyperlink" Target="http://www.sec.gov/Archives/edgar/data/1259429/000121390026050934/ea0287152-01_10q.htm" TargetMode="External"/><Relationship Id="rId36" Type="http://schemas.openxmlformats.org/officeDocument/2006/relationships/hyperlink" Target="http://www.sec.gov/ix?doc=/Archives/edgar/data/0001259429/000121390025062069/ea0247876-01_def14a.htm" TargetMode="External"/><Relationship Id="rId37" Type="http://schemas.openxmlformats.org/officeDocument/2006/relationships/hyperlink" Target="http://www.sec.gov/Archives/edgar/data/1259429/000121390026024280/ea0276931_ex4-3.htm" TargetMode="External"/><Relationship Id="rId38" Type="http://schemas.openxmlformats.org/officeDocument/2006/relationships/hyperlink" Target="http://www.sec.gov/Archives/edgar/data/1259429/000095013603002340/file001.txt" TargetMode="External"/><Relationship Id="rId57" Type="http://schemas.openxmlformats.org/officeDocument/2006/relationships/hyperlink" Target="http://www.sec.gov/Archives/edgar/data/1259429/000121390026024280/ea0276931_10k.htm" TargetMode="External"/><Relationship Id="rId125" Type="http://schemas.openxmlformats.org/officeDocument/2006/relationships/hyperlink" Target="http://www.sec.gov/Archives/edgar/data/1259429/000121390025062069/ea0247876-0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2026-05-05T07:04:06Z</dcterms:created>
  <dcterms:modified xsi:type="dcterms:W3CDTF">2026-05-05T07:04:06Z</dcterms:modified>
</cp:coreProperties>
</file>