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9371-01_8k.htm"/>
      <w:bookmarkStart w:id="1" w:name="ksea028937101_8k"/>
      <w:bookmarkEnd w:id="0"/>
      <w:bookmarkEnd w:id="1"/>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6_edei--DocumentType_c20260505__20"/>
      <w:bookmarkEnd w:id="2"/>
      <w:r>
        <w:rPr>
          <w:rFonts w:ascii="Times New Roman;Times;Serif" w:hAnsi="Times New Roman;Times;Serif"/>
          <w:b/>
          <w:i w:val="false"/>
          <w:caps w:val="false"/>
          <w:smallCaps w:val="false"/>
          <w:sz w:val="20"/>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w:t>
        <w:br/>
      </w:r>
      <w:bookmarkStart w:id="3" w:name="xdx_90C_edei--DocumentPeriodEndDate_c202"/>
      <w:bookmarkEnd w:id="3"/>
      <w:r>
        <w:rPr>
          <w:rFonts w:ascii="Times New Roman;Times;Serif" w:hAnsi="Times New Roman;Times;Serif"/>
          <w:b/>
          <w:i w:val="false"/>
          <w:caps w:val="false"/>
          <w:smallCaps w:val="false"/>
          <w:sz w:val="20"/>
        </w:rPr>
        <w:t>May 5, 2026</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4" w:name="xdx_906_edei--EntityRegistrantName_c2026"/>
      <w:bookmarkEnd w:id="4"/>
      <w:r>
        <w:rPr>
          <w:rFonts w:ascii="Times New Roman;Times;Serif" w:hAnsi="Times New Roman;Times;Serif"/>
          <w:b/>
          <w:i w:val="false"/>
          <w:caps w:val="false"/>
          <w:smallCaps w:val="false"/>
          <w:sz w:val="20"/>
        </w:rPr>
        <w:t>OXFORD SQUARE CAPITAL CORP.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45" w:type="dxa"/>
        <w:jc w:val="left"/>
        <w:tblInd w:w="0" w:type="dxa"/>
        <w:tblLayout w:type="fixed"/>
        <w:tblCellMar>
          <w:top w:w="0" w:type="dxa"/>
          <w:left w:w="0" w:type="dxa"/>
          <w:bottom w:w="28" w:type="dxa"/>
          <w:right w:w="0" w:type="dxa"/>
        </w:tblCellMar>
      </w:tblPr>
      <w:tblGrid>
        <w:gridCol w:w="2270"/>
        <w:gridCol w:w="60"/>
        <w:gridCol w:w="1145"/>
        <w:gridCol w:w="60"/>
        <w:gridCol w:w="1610"/>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Maryland</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505"/>
            <w:bookmarkEnd w:id="6"/>
            <w:r>
              <w:rPr>
                <w:rFonts w:ascii="Times New Roman;Times;Serif" w:hAnsi="Times New Roman;Times;Serif"/>
                <w:b/>
                <w:sz w:val="20"/>
              </w:rPr>
              <w:t>814-00638</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20-0188736</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w:t>
              <w:br/>
              <w:t>File Number)</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pPr>
            <w:r>
              <w:rPr>
                <w:rFonts w:ascii="Times New Roman;Times;Serif" w:hAnsi="Times New Roman;Times;Serif"/>
                <w:b/>
                <w:sz w:val="20"/>
              </w:rPr>
              <w:t>(I.R.S. Employer</w:t>
              <w:br/>
              <w:t>Identification No.)</w:t>
            </w:r>
            <w:r>
              <w:rPr>
                <w:rFonts w:ascii="Times New Roman;Times;Serif" w:hAnsi="Times New Roman;Times;Serif"/>
                <w:sz w:val="20"/>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8 Sound Shore Drive, </w:t>
      </w:r>
      <w:bookmarkStart w:id="9" w:name="xdx_902_edei--EntityAddressAddressLine2_"/>
      <w:bookmarkEnd w:id="9"/>
      <w:r>
        <w:rPr>
          <w:rFonts w:ascii="Times New Roman;Times;Serif" w:hAnsi="Times New Roman;Times;Serif"/>
          <w:b/>
          <w:i w:val="false"/>
          <w:caps w:val="false"/>
          <w:smallCaps w:val="false"/>
          <w:sz w:val="20"/>
        </w:rPr>
        <w:t>Suite 255</w:t>
      </w:r>
    </w:p>
    <w:p>
      <w:pPr>
        <w:pStyle w:val="TextBody"/>
        <w:bidi w:val="0"/>
        <w:spacing w:before="0" w:after="0"/>
        <w:jc w:val="center"/>
        <w:rPr>
          <w:rFonts w:ascii="Times New Roman;Times;Serif" w:hAnsi="Times New Roman;Times;Serif"/>
          <w:b/>
          <w:i w:val="false"/>
          <w:caps w:val="false"/>
          <w:smallCaps w:val="false"/>
          <w:sz w:val="20"/>
        </w:rPr>
      </w:pPr>
      <w:bookmarkStart w:id="10" w:name="xdx_90D_edei--EntityAddressCityOrTown_c2"/>
      <w:bookmarkEnd w:id="10"/>
      <w:r>
        <w:rPr>
          <w:rFonts w:ascii="Times New Roman;Times;Serif" w:hAnsi="Times New Roman;Times;Serif"/>
          <w:b/>
          <w:i w:val="false"/>
          <w:caps w:val="false"/>
          <w:smallCaps w:val="false"/>
          <w:sz w:val="20"/>
        </w:rPr>
        <w:t xml:space="preserve">Greenwich, </w:t>
      </w:r>
      <w:bookmarkStart w:id="11" w:name="xdx_90B_edei--EntityAddressStateOrProvin"/>
      <w:bookmarkEnd w:id="11"/>
      <w:r>
        <w:rPr>
          <w:rFonts w:ascii="Times New Roman;Times;Serif" w:hAnsi="Times New Roman;Times;Serif"/>
          <w:b/>
          <w:i w:val="false"/>
          <w:caps w:val="false"/>
          <w:smallCaps w:val="false"/>
          <w:sz w:val="20"/>
        </w:rPr>
        <w:t xml:space="preserve">CT </w:t>
      </w:r>
      <w:bookmarkStart w:id="12" w:name="xdx_90B_edei--EntityAddressPostalZipCode"/>
      <w:bookmarkEnd w:id="12"/>
      <w:r>
        <w:rPr>
          <w:rFonts w:ascii="Times New Roman;Times;Serif" w:hAnsi="Times New Roman;Times;Serif"/>
          <w:b/>
          <w:i w:val="false"/>
          <w:caps w:val="false"/>
          <w:smallCaps w:val="false"/>
          <w:sz w:val="20"/>
        </w:rPr>
        <w:t>06830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C_edei--CityAreaCode_c20260505__20"/>
      <w:bookmarkEnd w:id="13"/>
      <w:r>
        <w:rPr>
          <w:rFonts w:ascii="Times New Roman;Times;Serif" w:hAnsi="Times New Roman;Times;Serif"/>
          <w:b/>
          <w:i w:val="false"/>
          <w:caps w:val="false"/>
          <w:smallCaps w:val="false"/>
          <w:sz w:val="20"/>
        </w:rPr>
        <w:t xml:space="preserve">203) </w:t>
      </w:r>
      <w:bookmarkStart w:id="14" w:name="xdx_909_edei--LocalPhoneNumber_c20260505"/>
      <w:bookmarkEnd w:id="14"/>
      <w:r>
        <w:rPr>
          <w:rFonts w:ascii="Times New Roman;Times;Serif" w:hAnsi="Times New Roman;Times;Serif"/>
          <w:b/>
          <w:i w:val="false"/>
          <w:caps w:val="false"/>
          <w:smallCaps w:val="false"/>
          <w:sz w:val="20"/>
        </w:rPr>
        <w:t>983-5275</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6" w:name="xdx_90F_edei--SolicitingMaterial_c202605"/>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7" w:name="xdx_902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8" w:name="xdx_904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15" w:type="dxa"/>
        <w:jc w:val="left"/>
        <w:tblInd w:w="0" w:type="dxa"/>
        <w:tblLayout w:type="fixed"/>
        <w:tblCellMar>
          <w:top w:w="0" w:type="dxa"/>
          <w:left w:w="0" w:type="dxa"/>
          <w:bottom w:w="28" w:type="dxa"/>
          <w:right w:w="0" w:type="dxa"/>
        </w:tblCellMar>
      </w:tblPr>
      <w:tblGrid>
        <w:gridCol w:w="3380"/>
        <w:gridCol w:w="60"/>
        <w:gridCol w:w="1610"/>
        <w:gridCol w:w="60"/>
        <w:gridCol w:w="3905"/>
      </w:tblGrid>
      <w:tr>
        <w:trPr/>
        <w:tc>
          <w:tcPr>
            <w:tcW w:w="33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90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A_edei--Security12bTitle_c20260505"/>
            <w:bookmarkEnd w:id="19"/>
            <w:r>
              <w:rPr>
                <w:rFonts w:ascii="Times New Roman;Times;Serif" w:hAnsi="Times New Roman;Times;Serif"/>
                <w:sz w:val="20"/>
              </w:rPr>
              <w:t>Common stock, par value $0.01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C_edei--TradingSymbol_c20260505__2"/>
            <w:bookmarkEnd w:id="20"/>
            <w:r>
              <w:rPr>
                <w:rFonts w:ascii="Times New Roman;Times;Serif" w:hAnsi="Times New Roman;Times;Serif"/>
                <w:sz w:val="20"/>
              </w:rPr>
              <w:t>OXSQ</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F_edei--SecurityExchangeName_c2026"/>
            <w:bookmarkEnd w:id="21"/>
            <w:r>
              <w:rPr>
                <w:rFonts w:ascii="Times New Roman;Times;Serif" w:hAnsi="Times New Roman;Times;Serif"/>
                <w:sz w:val="20"/>
              </w:rPr>
              <w:t>NASDAQ Global Select Market LLC</w:t>
            </w:r>
          </w:p>
        </w:tc>
      </w:tr>
      <w:tr>
        <w:trPr/>
        <w:tc>
          <w:tcPr>
            <w:tcW w:w="338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0_edei--Security12bTitle_c20260505"/>
            <w:bookmarkEnd w:id="22"/>
            <w:r>
              <w:rPr>
                <w:rFonts w:ascii="Times New Roman;Times;Serif" w:hAnsi="Times New Roman;Times;Serif"/>
                <w:sz w:val="20"/>
              </w:rPr>
              <w:t>5.50% Notes due 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1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7_edei--TradingSymbol_c20260505__2"/>
            <w:bookmarkEnd w:id="23"/>
            <w:r>
              <w:rPr>
                <w:rFonts w:ascii="Times New Roman;Times;Serif" w:hAnsi="Times New Roman;Times;Serif"/>
                <w:sz w:val="20"/>
              </w:rPr>
              <w:t>OXSQG</w:t>
            </w:r>
          </w:p>
        </w:tc>
        <w:tc>
          <w:tcPr>
            <w:tcW w:w="60" w:type="dxa"/>
            <w:tcBorders/>
            <w:shd w:fill="FFFFFF" w:val="clear"/>
            <w:tcMar>
              <w:bottom w:w="0" w:type="dxa"/>
            </w:tcMar>
            <w:vAlign w:val="center"/>
          </w:tcPr>
          <w:p>
            <w:pPr>
              <w:pStyle w:val="TableContents"/>
              <w:bidi w:val="0"/>
              <w:spacing w:before="0" w:after="283"/>
              <w:jc w:val="left"/>
              <w:rPr/>
            </w:pPr>
            <w:r>
              <w:rPr/>
              <w:t> </w:t>
            </w:r>
          </w:p>
        </w:tc>
        <w:tc>
          <w:tcPr>
            <w:tcW w:w="390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B_edei--SecurityExchangeName_c2026"/>
            <w:bookmarkEnd w:id="24"/>
            <w:r>
              <w:rPr>
                <w:rFonts w:ascii="Times New Roman;Times;Serif" w:hAnsi="Times New Roman;Times;Serif"/>
                <w:sz w:val="20"/>
              </w:rPr>
              <w:t>NASDAQ Global Select Market LLC</w:t>
            </w:r>
          </w:p>
        </w:tc>
      </w:tr>
      <w:tr>
        <w:trPr/>
        <w:tc>
          <w:tcPr>
            <w:tcW w:w="338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7_edei--Security12bTitle_c20260505"/>
            <w:bookmarkEnd w:id="25"/>
            <w:r>
              <w:rPr>
                <w:rFonts w:ascii="Times New Roman;Times;Serif" w:hAnsi="Times New Roman;Times;Serif"/>
                <w:sz w:val="20"/>
              </w:rPr>
              <w:t>7.75% Notes due 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1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6" w:name="xdx_90A_edei--TradingSymbol_c20260505__2"/>
            <w:bookmarkEnd w:id="26"/>
            <w:r>
              <w:rPr>
                <w:rFonts w:ascii="Times New Roman;Times;Serif" w:hAnsi="Times New Roman;Times;Serif"/>
                <w:sz w:val="20"/>
              </w:rPr>
              <w:t>OXSQH</w:t>
            </w:r>
          </w:p>
        </w:tc>
        <w:tc>
          <w:tcPr>
            <w:tcW w:w="60" w:type="dxa"/>
            <w:tcBorders/>
            <w:shd w:fill="CCEEFF" w:val="clear"/>
            <w:tcMar>
              <w:bottom w:w="0" w:type="dxa"/>
            </w:tcMar>
            <w:vAlign w:val="center"/>
          </w:tcPr>
          <w:p>
            <w:pPr>
              <w:pStyle w:val="TableContents"/>
              <w:bidi w:val="0"/>
              <w:spacing w:before="0" w:after="283"/>
              <w:jc w:val="left"/>
              <w:rPr/>
            </w:pPr>
            <w:r>
              <w:rPr/>
              <w:t> </w:t>
            </w:r>
          </w:p>
        </w:tc>
        <w:tc>
          <w:tcPr>
            <w:tcW w:w="390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7" w:name="xdx_907_edei--SecurityExchangeName_c2026"/>
            <w:bookmarkEnd w:id="27"/>
            <w:r>
              <w:rPr>
                <w:rFonts w:ascii="Times New Roman;Times;Serif" w:hAnsi="Times New Roman;Times;Serif"/>
                <w:sz w:val="20"/>
              </w:rPr>
              <w:t>NASDAQ Global Select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2_edei--EntityEmergingGrowthCompan"/>
      <w:bookmarkEnd w:id="28"/>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Oxford Square Capital Corp. (the “Company”) entered into amendment no. 1 (the “Amendment”) to that certain amended and restated equity distribution agreement, dated August 16, 2024 (as amended, the “Amended Equity Distribution Agreement”), by and among the Company, Oxford Square Management, LLC, Oxford Funds, LLC, Lucid Capital Markets, LLC and Ladenburg Thalmann &amp; Co. Inc., as the sales agents. The Amended Equity Distribution Agreement allows for sales pursuant to the Amended Equity Distribution Agreement to continue under the Company’s currently effective shelf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offering is being made pursuant to the Company’s effective shelf registration statement on Form N-2 (Registration No. 333-290511) filed with the Securities and Exchange Commission, as supplemented by a prospectus supplement, dated May 5, 2026. 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description above is only a summary of the material provisions of the Amended Equity Distribution Agreement and is qualified in its entirety by reference to the full text of the Amended Equity Distribution Agreement, which is attached hereto as Exhibit 1.1 and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5, 2026, Dechert LLP delivered its legality opinion with respect to the shares of the Company’s common stock to be sold pursuant to the Amended Equity Distribution Agreement, which is attached hereto as 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Exhibits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5"/>
        <w:gridCol w:w="60"/>
        <w:gridCol w:w="9750"/>
      </w:tblGrid>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left"/>
              <w:rPr/>
            </w:pPr>
            <w:hyperlink w:anchor="ea028937101_ex1-1.htm">
              <w:r>
                <w:rPr>
                  <w:rStyle w:val="InternetLink"/>
                  <w:rFonts w:ascii="Times New Roman;Times;Serif" w:hAnsi="Times New Roman;Times;Serif"/>
                  <w:sz w:val="20"/>
                </w:rPr>
                <w:t>Amendment No. 1 to the Amended and Restated Equity Distribution Agreement, dated as of May 5, 2026, by and among Oxford Square Capital Corp., Oxford Square Management, LLC, Oxford Funds, LLC, Lucid Capital Markets, LLC and Ladenburg Thalmann &amp; Co. Inc., as sales agents.</w:t>
              </w:r>
            </w:hyperlink>
          </w:p>
        </w:tc>
      </w:tr>
      <w:tr>
        <w:trPr/>
        <w:tc>
          <w:tcPr>
            <w:tcW w:w="395" w:type="dxa"/>
            <w:tcBorders/>
            <w:shd w:fill="FFFFFF" w:val="clear"/>
            <w:vAlign w:val="center"/>
          </w:tcPr>
          <w:p>
            <w:pPr>
              <w:pStyle w:val="TableContents"/>
              <w:bidi w:val="0"/>
              <w:spacing w:before="0" w:after="283"/>
              <w:jc w:val="left"/>
              <w:rPr/>
            </w:pPr>
            <w:r>
              <w:rPr/>
              <w:t> </w:t>
            </w:r>
          </w:p>
        </w:tc>
        <w:tc>
          <w:tcPr>
            <w:tcW w:w="9810" w:type="dxa"/>
            <w:gridSpan w:val="2"/>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left"/>
              <w:rPr/>
            </w:pPr>
            <w:hyperlink w:anchor="ea028937101_ex5-1.htm">
              <w:r>
                <w:rPr>
                  <w:rStyle w:val="InternetLink"/>
                  <w:rFonts w:ascii="Times New Roman;Times;Serif" w:hAnsi="Times New Roman;Times;Serif"/>
                  <w:sz w:val="20"/>
                </w:rPr>
                <w:t>Opinion of Dechert LLP.</w:t>
              </w:r>
            </w:hyperlink>
          </w:p>
        </w:tc>
      </w:tr>
      <w:tr>
        <w:trPr/>
        <w:tc>
          <w:tcPr>
            <w:tcW w:w="395" w:type="dxa"/>
            <w:tcBorders/>
            <w:shd w:fill="FFFFFF" w:val="clear"/>
            <w:vAlign w:val="center"/>
          </w:tcPr>
          <w:p>
            <w:pPr>
              <w:pStyle w:val="TableContents"/>
              <w:bidi w:val="0"/>
              <w:spacing w:before="0" w:after="283"/>
              <w:jc w:val="left"/>
              <w:rPr/>
            </w:pPr>
            <w:r>
              <w:rPr/>
              <w:t> </w:t>
            </w:r>
          </w:p>
        </w:tc>
        <w:tc>
          <w:tcPr>
            <w:tcW w:w="9810" w:type="dxa"/>
            <w:gridSpan w:val="2"/>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left"/>
              <w:rPr/>
            </w:pPr>
            <w:hyperlink w:anchor="ea028937101_ex5-1.htm">
              <w:r>
                <w:rPr>
                  <w:rStyle w:val="InternetLink"/>
                  <w:rFonts w:ascii="Times New Roman;Times;Serif" w:hAnsi="Times New Roman;Times;Serif"/>
                  <w:sz w:val="20"/>
                </w:rPr>
                <w:t>Consent of Dechert LLP (contain in the opinion filed as Exhibit 5.1 hereto).</w:t>
              </w:r>
            </w:hyperlink>
          </w:p>
        </w:tc>
      </w:tr>
      <w:tr>
        <w:trPr/>
        <w:tc>
          <w:tcPr>
            <w:tcW w:w="395" w:type="dxa"/>
            <w:tcBorders/>
            <w:shd w:fill="FFFFFF" w:val="clear"/>
            <w:vAlign w:val="center"/>
          </w:tcPr>
          <w:p>
            <w:pPr>
              <w:pStyle w:val="TableContents"/>
              <w:bidi w:val="0"/>
              <w:spacing w:before="0" w:after="283"/>
              <w:jc w:val="left"/>
              <w:rPr/>
            </w:pPr>
            <w:r>
              <w:rPr/>
              <w:t> </w:t>
            </w:r>
          </w:p>
        </w:tc>
        <w:tc>
          <w:tcPr>
            <w:tcW w:w="9810" w:type="dxa"/>
            <w:gridSpan w:val="2"/>
            <w:tcBorders/>
            <w:shd w:fill="FFFFFF" w:val="clear"/>
            <w:vAlign w:val="center"/>
          </w:tcPr>
          <w:p>
            <w:pPr>
              <w:pStyle w:val="TableContents"/>
              <w:bidi w:val="0"/>
              <w:spacing w:before="0" w:after="283"/>
              <w:jc w:val="left"/>
              <w:rPr/>
            </w:pPr>
            <w:r>
              <w:rPr/>
              <w:t> </w:t>
            </w:r>
          </w:p>
        </w:tc>
      </w:tr>
      <w:tr>
        <w:trPr/>
        <w:tc>
          <w:tcPr>
            <w:tcW w:w="3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vAlign w:val="center"/>
          </w:tcPr>
          <w:p>
            <w:pPr>
              <w:pStyle w:val="TableContents"/>
              <w:bidi w:val="0"/>
              <w:spacing w:before="0" w:after="283"/>
              <w:jc w:val="left"/>
              <w:rPr/>
            </w:pPr>
            <w:r>
              <w:rPr/>
              <w:t> </w:t>
            </w:r>
          </w:p>
        </w:tc>
        <w:tc>
          <w:tcPr>
            <w:tcW w:w="97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49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044" w:type="dxa"/>
        <w:jc w:val="left"/>
        <w:tblInd w:w="0" w:type="dxa"/>
        <w:tblLayout w:type="fixed"/>
        <w:tblCellMar>
          <w:top w:w="0" w:type="dxa"/>
          <w:left w:w="0" w:type="dxa"/>
          <w:bottom w:w="0" w:type="dxa"/>
          <w:right w:w="0" w:type="dxa"/>
        </w:tblCellMar>
      </w:tblPr>
      <w:tblGrid>
        <w:gridCol w:w="1550"/>
        <w:gridCol w:w="381"/>
        <w:gridCol w:w="2113"/>
      </w:tblGrid>
      <w:tr>
        <w:trPr/>
        <w:tc>
          <w:tcPr>
            <w:tcW w:w="15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May 5, 2026</w:t>
            </w:r>
          </w:p>
        </w:tc>
        <w:tc>
          <w:tcPr>
            <w:tcW w:w="249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Oxford Square Capital Corp.</w:t>
            </w:r>
          </w:p>
        </w:tc>
      </w:tr>
      <w:tr>
        <w:trPr/>
        <w:tc>
          <w:tcPr>
            <w:tcW w:w="155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1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Saul B. Rosenthal </w:t>
            </w:r>
          </w:p>
        </w:tc>
      </w:tr>
      <w:tr>
        <w:trPr/>
        <w:tc>
          <w:tcPr>
            <w:tcW w:w="155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Saul B. Rosenthal</w:t>
            </w:r>
          </w:p>
        </w:tc>
      </w:tr>
      <w:tr>
        <w:trPr/>
        <w:tc>
          <w:tcPr>
            <w:tcW w:w="1550" w:type="dxa"/>
            <w:tcBorders/>
            <w:vAlign w:val="center"/>
          </w:tcPr>
          <w:p>
            <w:pPr>
              <w:pStyle w:val="TableContents"/>
              <w:bidi w:val="0"/>
              <w:spacing w:before="0" w:after="283"/>
              <w:jc w:val="left"/>
              <w:rPr/>
            </w:pPr>
            <w:r>
              <w:rPr/>
              <w:t> </w:t>
            </w:r>
          </w:p>
        </w:tc>
        <w:tc>
          <w:tcPr>
            <w:tcW w:w="381" w:type="dxa"/>
            <w:tcBorders/>
            <w:vAlign w:val="center"/>
          </w:tcPr>
          <w:p>
            <w:pPr>
              <w:pStyle w:val="TableContents"/>
              <w:bidi w:val="0"/>
              <w:spacing w:before="0" w:after="283"/>
              <w:jc w:val="left"/>
              <w:rPr/>
            </w:pPr>
            <w:r>
              <w:rPr/>
              <w:t> </w:t>
            </w:r>
          </w:p>
        </w:tc>
        <w:tc>
          <w:tcPr>
            <w:tcW w:w="21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9" w:name="ea028937101_ex1-1.htm"/>
      <w:bookmarkStart w:id="30" w:name="ksea028937101_ex11"/>
      <w:bookmarkEnd w:id="29"/>
      <w:bookmarkEnd w:id="30"/>
      <w:r>
        <w:rPr>
          <w:rFonts w:ascii="Times New Roman;Times;Serif" w:hAnsi="Times New Roman;Times;Serif"/>
          <w:b/>
          <w:i w:val="false"/>
          <w:caps w:val="false"/>
          <w:smallCaps w:val="false"/>
          <w:sz w:val="20"/>
        </w:rPr>
        <w:t>Exhibit 1.1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SQUARE CAPITAL CORP.</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Maryland corporation)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TO</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 and RESTATED EQUITY DISTRIBUTION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Lucid Capital Markets,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 Lexington Avenue, 40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Ladenburg Thalmann &amp; Co.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640 Fifth Avenue,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No. 1, dated May 5, 2026 (the “</w:t>
      </w:r>
      <w:r>
        <w:rPr>
          <w:rFonts w:ascii="Times New Roman;Times;Serif" w:hAnsi="Times New Roman;Times;Serif"/>
          <w:b w:val="false"/>
          <w:i/>
          <w:caps w:val="false"/>
          <w:smallCaps w:val="false"/>
          <w:sz w:val="20"/>
          <w:u w:val="single"/>
        </w:rPr>
        <w:t>Amendment</w:t>
      </w:r>
      <w:r>
        <w:rPr>
          <w:rFonts w:ascii="Times New Roman;Times;Serif" w:hAnsi="Times New Roman;Times;Serif"/>
          <w:b w:val="false"/>
          <w:i w:val="false"/>
          <w:caps w:val="false"/>
          <w:smallCaps w:val="false"/>
          <w:sz w:val="20"/>
        </w:rPr>
        <w:t>”), is to the Amended and Restated Equity Distribution Agreement, dated August 16, 2024 (the “</w:t>
      </w:r>
      <w:r>
        <w:rPr>
          <w:rFonts w:ascii="Times New Roman;Times;Serif" w:hAnsi="Times New Roman;Times;Serif"/>
          <w:b w:val="false"/>
          <w:i/>
          <w:caps w:val="false"/>
          <w:smallCaps w:val="false"/>
          <w:sz w:val="20"/>
          <w:u w:val="single"/>
        </w:rPr>
        <w:t>Equity Distribution Agreement</w:t>
      </w:r>
      <w:r>
        <w:rPr>
          <w:rFonts w:ascii="Times New Roman;Times;Serif" w:hAnsi="Times New Roman;Times;Serif"/>
          <w:b w:val="false"/>
          <w:i w:val="false"/>
          <w:caps w:val="false"/>
          <w:smallCaps w:val="false"/>
          <w:sz w:val="20"/>
        </w:rPr>
        <w:t>”), by and among Oxford Square Capital Corp., a Maryland corporation (the “</w:t>
      </w:r>
      <w:r>
        <w:rPr>
          <w:rFonts w:ascii="Times New Roman;Times;Serif" w:hAnsi="Times New Roman;Times;Serif"/>
          <w:b w:val="false"/>
          <w:i/>
          <w:caps w:val="false"/>
          <w:smallCaps w:val="false"/>
          <w:sz w:val="20"/>
          <w:u w:val="single"/>
        </w:rPr>
        <w:t>Company</w:t>
      </w:r>
      <w:r>
        <w:rPr>
          <w:rFonts w:ascii="Times New Roman;Times;Serif" w:hAnsi="Times New Roman;Times;Serif"/>
          <w:b w:val="false"/>
          <w:i w:val="false"/>
          <w:caps w:val="false"/>
          <w:smallCaps w:val="false"/>
          <w:sz w:val="20"/>
        </w:rPr>
        <w:t>”), Oxford Square Management, LLC, a limited liability company organized under the laws of the State of Delaware (the “</w:t>
      </w:r>
      <w:r>
        <w:rPr>
          <w:rFonts w:ascii="Times New Roman;Times;Serif" w:hAnsi="Times New Roman;Times;Serif"/>
          <w:b w:val="false"/>
          <w:i/>
          <w:caps w:val="false"/>
          <w:smallCaps w:val="false"/>
          <w:sz w:val="20"/>
          <w:u w:val="single"/>
        </w:rPr>
        <w:t>Adviser</w:t>
      </w:r>
      <w:r>
        <w:rPr>
          <w:rFonts w:ascii="Times New Roman;Times;Serif" w:hAnsi="Times New Roman;Times;Serif"/>
          <w:b w:val="false"/>
          <w:i w:val="false"/>
          <w:caps w:val="false"/>
          <w:smallCaps w:val="false"/>
          <w:sz w:val="20"/>
        </w:rPr>
        <w:t>”), Oxford Funds LLC, a limited liability company organized under the laws of Delaware (the “</w:t>
      </w:r>
      <w:r>
        <w:rPr>
          <w:rFonts w:ascii="Times New Roman;Times;Serif" w:hAnsi="Times New Roman;Times;Serif"/>
          <w:b w:val="false"/>
          <w:i/>
          <w:caps w:val="false"/>
          <w:smallCaps w:val="false"/>
          <w:sz w:val="20"/>
          <w:u w:val="single"/>
        </w:rPr>
        <w:t>Administrator</w:t>
      </w:r>
      <w:r>
        <w:rPr>
          <w:rFonts w:ascii="Times New Roman;Times;Serif" w:hAnsi="Times New Roman;Times;Serif"/>
          <w:b w:val="false"/>
          <w:i w:val="false"/>
          <w:caps w:val="false"/>
          <w:smallCaps w:val="false"/>
          <w:sz w:val="20"/>
        </w:rPr>
        <w:t>”) and Lucid Capital Markets, LLC (“</w:t>
      </w:r>
      <w:r>
        <w:rPr>
          <w:rFonts w:ascii="Times New Roman;Times;Serif" w:hAnsi="Times New Roman;Times;Serif"/>
          <w:b w:val="false"/>
          <w:i/>
          <w:caps w:val="false"/>
          <w:smallCaps w:val="false"/>
          <w:sz w:val="20"/>
          <w:u w:val="single"/>
        </w:rPr>
        <w:t>Lucid</w:t>
      </w:r>
      <w:r>
        <w:rPr>
          <w:rFonts w:ascii="Times New Roman;Times;Serif" w:hAnsi="Times New Roman;Times;Serif"/>
          <w:b w:val="false"/>
          <w:i w:val="false"/>
          <w:caps w:val="false"/>
          <w:smallCaps w:val="false"/>
          <w:sz w:val="20"/>
        </w:rPr>
        <w:t>”) and Ladenburg Thalmann &amp; Co. Inc. (“</w:t>
      </w:r>
      <w:r>
        <w:rPr>
          <w:rFonts w:ascii="Times New Roman;Times;Serif" w:hAnsi="Times New Roman;Times;Serif"/>
          <w:b w:val="false"/>
          <w:i/>
          <w:caps w:val="false"/>
          <w:smallCaps w:val="false"/>
          <w:sz w:val="20"/>
          <w:u w:val="single"/>
        </w:rPr>
        <w:t>Ladenburg</w:t>
      </w:r>
      <w:r>
        <w:rPr>
          <w:rFonts w:ascii="Times New Roman;Times;Serif" w:hAnsi="Times New Roman;Times;Serif"/>
          <w:b w:val="false"/>
          <w:i w:val="false"/>
          <w:caps w:val="false"/>
          <w:smallCaps w:val="false"/>
          <w:sz w:val="20"/>
        </w:rPr>
        <w:t>” and, together with Lucid, the “</w:t>
      </w:r>
      <w:r>
        <w:rPr>
          <w:rFonts w:ascii="Times New Roman;Times;Serif" w:hAnsi="Times New Roman;Times;Serif"/>
          <w:b w:val="false"/>
          <w:i/>
          <w:caps w:val="false"/>
          <w:smallCaps w:val="false"/>
          <w:sz w:val="20"/>
          <w:u w:val="single"/>
        </w:rPr>
        <w:t>Agents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the Adviser, the Administrator, Lucid and Ladenburg desire to amend the Equity Distribution Agreement to amend the definition of Registration Statement as such term is used in the Equity Distribution Agreement with effect on and after the date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contained in this Amendment and other good and valuable consideration, the receipt and sufficiency of which are hereby acknowledged, the parties to this Amendment, intending to be legally bound, hereby, further amend the Equity Distribution Agreement and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the date hereof, all references to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 the Equity Distribution Agreement shall refer to the registration statement on Form N-2 (333-290511) and The second paragraph of Section 1 of the Equity Distribution Agreement is replaced in its entirety with the following: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The Company has filed, in accordance with the provisions of the Securities Act of 1933, as amended, and the rules and regulations thereunder (collectively,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with the Commission a registration statement on Form N-2 (File No. 333-290511), including a base prospectus, relating to the Common Shares, including the Shares to be issued from time to time by the Company. The Company has prepared a prospectus supplement specifically relating to the Shares dated May 5, 2026, as supplemented by the prospectus supplement filed on the date hereof specifically relating to the Shares (together,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to the base prospectus included as part of such registration statement. Except where the context otherwise requires, such registration statement, as amended when it became effective, including all documents filed as part thereof, or incorporated or deemed incorporated by reference therein, and including any information contained in a Prospectus (as defined below) subsequently filed with the Commission pursuant to Rule 424 under the Securities Act or deemed to be a part of such registration statement pursuant to Rule 430B of the Securities Act, is herein called the “Registration Statement.” The base prospectus included in the Registration Statement, as it may be supplemented by the Prospectus Supplement, in the form in which such prospectus and/or Prospectus Supplement have most recently been filed by the Company with the Commission pursuant to Rule 424 under the Securities Act, including all documents incorporated or deemed incorporated by reference therein, is herein called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Any reference to the base prospectus, the Prospectus Supplement or the Prospectus shall be deemed to refer to and include any post-effective amendment to the Registration Statement and any prospectus supplement relating to the Shares filed with the Commission pursuant to Rule 424, in each case after the date of the base prospectus, the Prospectus Supplement or the Prospectus, as the case may be. For purposes of this Agreement, all references to the Registration Statement, the Prospectus or to any amendment or supplement thereto shall be deemed to include any copy filed with the Commission pursuant to EDGAR.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above, no other amendments to the Equity Distribution Agreement are intended by the parties hereto, are made, or shall be deemed to be made, pursuant to this Amendment, and all provisions of the Equity Distribution Agreement, including all exhibits thereto, unaffected by this Amendment shall remain in full force and effect.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capitalized term used but not defined herein shall have the meaning ascribed to such term in the Equity Distribution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may be executed in one or more counterparts, each of which shall be deemed an original but all of which together will constitute one and the same instrument.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is in accordance with your understanding of our agreement, please so indicate in the space provided below for that purpose, whereupon this letter shall constitute a binding agreement among the Company, the Adviser, the Administrator and the Agents.</w:t>
      </w:r>
    </w:p>
    <w:p>
      <w:pPr>
        <w:pStyle w:val="TextBody"/>
        <w:bidi w:val="0"/>
        <w:spacing w:before="0" w:after="0"/>
        <w:ind w:left="4320" w:right="0" w:firstLine="720"/>
        <w:jc w:val="left"/>
        <w:rPr>
          <w:caps w:val="false"/>
          <w:smallCaps w:val="false"/>
        </w:rPr>
      </w:pPr>
      <w:r>
        <w:rPr>
          <w:caps w:val="false"/>
          <w:smallCaps w:val="false"/>
        </w:rPr>
        <w:t> </w:t>
      </w:r>
    </w:p>
    <w:tbl>
      <w:tblPr>
        <w:tblW w:w="4218" w:type="dxa"/>
        <w:jc w:val="left"/>
        <w:tblInd w:w="0" w:type="dxa"/>
        <w:tblLayout w:type="fixed"/>
        <w:tblCellMar>
          <w:top w:w="0" w:type="dxa"/>
          <w:left w:w="0" w:type="dxa"/>
          <w:bottom w:w="0" w:type="dxa"/>
          <w:right w:w="0" w:type="dxa"/>
        </w:tblCellMar>
      </w:tblPr>
      <w:tblGrid>
        <w:gridCol w:w="75"/>
        <w:gridCol w:w="521"/>
        <w:gridCol w:w="798"/>
        <w:gridCol w:w="2824"/>
      </w:tblGrid>
      <w:tr>
        <w:trPr/>
        <w:tc>
          <w:tcPr>
            <w:tcW w:w="75" w:type="dxa"/>
            <w:tcBorders/>
            <w:vAlign w:val="center"/>
          </w:tcPr>
          <w:p>
            <w:pPr>
              <w:pStyle w:val="TableContents"/>
              <w:bidi w:val="0"/>
              <w:spacing w:before="0" w:after="283"/>
              <w:jc w:val="left"/>
              <w:rPr/>
            </w:pPr>
            <w:r>
              <w:rPr/>
              <w:t> </w:t>
            </w:r>
          </w:p>
        </w:tc>
        <w:tc>
          <w:tcPr>
            <w:tcW w:w="4143" w:type="dxa"/>
            <w:gridSpan w:val="3"/>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36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43" w:type="dxa"/>
            <w:gridSpan w:val="3"/>
            <w:tcBorders/>
            <w:vAlign w:val="center"/>
          </w:tcPr>
          <w:p>
            <w:pPr>
              <w:pStyle w:val="TableContents"/>
              <w:bidi w:val="0"/>
              <w:spacing w:before="0" w:after="283"/>
              <w:jc w:val="left"/>
              <w:rPr>
                <w:b/>
              </w:rPr>
            </w:pPr>
            <w:r>
              <w:rPr>
                <w:b/>
              </w:rPr>
              <w:t>OXFORD SQUARE CAPITAL CORP.</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w:t>
            </w:r>
          </w:p>
        </w:tc>
        <w:tc>
          <w:tcPr>
            <w:tcW w:w="3622"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pPr>
            <w:r>
              <w:rPr/>
              <w:t xml:space="preserve">By: </w:t>
            </w:r>
          </w:p>
        </w:tc>
        <w:tc>
          <w:tcPr>
            <w:tcW w:w="3622" w:type="dxa"/>
            <w:gridSpan w:val="2"/>
            <w:tcBorders>
              <w:bottom w:val="single" w:sz="8" w:space="0" w:color="000000"/>
            </w:tcBorders>
            <w:tcMar>
              <w:bottom w:w="28" w:type="dxa"/>
            </w:tcMar>
            <w:vAlign w:val="center"/>
          </w:tcPr>
          <w:p>
            <w:pPr>
              <w:pStyle w:val="TableContents"/>
              <w:bidi w:val="0"/>
              <w:spacing w:before="0" w:after="283"/>
              <w:jc w:val="left"/>
              <w:rPr/>
            </w:pPr>
            <w:r>
              <w:rPr/>
              <w:t>/s/ Jonathan H. Cohen</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Name:</w:t>
            </w:r>
          </w:p>
        </w:tc>
        <w:tc>
          <w:tcPr>
            <w:tcW w:w="2824" w:type="dxa"/>
            <w:tcBorders/>
            <w:vAlign w:val="center"/>
          </w:tcPr>
          <w:p>
            <w:pPr>
              <w:pStyle w:val="TableContents"/>
              <w:bidi w:val="0"/>
              <w:spacing w:before="0" w:after="283"/>
              <w:jc w:val="left"/>
              <w:rPr/>
            </w:pPr>
            <w:r>
              <w:rPr/>
              <w:t>Jonathan H. Cohen</w:t>
            </w:r>
          </w:p>
        </w:tc>
      </w:tr>
      <w:tr>
        <w:trPr/>
        <w:tc>
          <w:tcPr>
            <w:tcW w:w="75"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pPr>
            <w:r>
              <w:rPr/>
              <w:t>Title:</w:t>
            </w:r>
          </w:p>
        </w:tc>
        <w:tc>
          <w:tcPr>
            <w:tcW w:w="2824"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773" w:type="dxa"/>
        <w:jc w:val="left"/>
        <w:tblInd w:w="0" w:type="dxa"/>
        <w:tblLayout w:type="fixed"/>
        <w:tblCellMar>
          <w:top w:w="0" w:type="dxa"/>
          <w:left w:w="0" w:type="dxa"/>
          <w:bottom w:w="0" w:type="dxa"/>
          <w:right w:w="0" w:type="dxa"/>
        </w:tblCellMar>
      </w:tblPr>
      <w:tblGrid>
        <w:gridCol w:w="75"/>
        <w:gridCol w:w="591"/>
        <w:gridCol w:w="905"/>
        <w:gridCol w:w="3202"/>
      </w:tblGrid>
      <w:tr>
        <w:trPr/>
        <w:tc>
          <w:tcPr>
            <w:tcW w:w="75" w:type="dxa"/>
            <w:tcBorders/>
            <w:vAlign w:val="center"/>
          </w:tcPr>
          <w:p>
            <w:pPr>
              <w:pStyle w:val="TableContents"/>
              <w:bidi w:val="0"/>
              <w:spacing w:before="0" w:after="283"/>
              <w:jc w:val="left"/>
              <w:rPr/>
            </w:pPr>
            <w:r>
              <w:rPr/>
              <w:t> </w:t>
            </w:r>
          </w:p>
        </w:tc>
        <w:tc>
          <w:tcPr>
            <w:tcW w:w="4698" w:type="dxa"/>
            <w:gridSpan w:val="3"/>
            <w:tcBorders/>
            <w:vAlign w:val="center"/>
          </w:tcPr>
          <w:p>
            <w:pPr>
              <w:pStyle w:val="TableContents"/>
              <w:bidi w:val="0"/>
              <w:spacing w:before="0" w:after="283"/>
              <w:jc w:val="left"/>
              <w:rPr>
                <w:b/>
              </w:rPr>
            </w:pPr>
            <w:r>
              <w:rPr>
                <w:b/>
              </w:rPr>
              <w:t>OXFORD SQUARE MANAGEMENT, LLC</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w:t>
            </w:r>
          </w:p>
        </w:tc>
        <w:tc>
          <w:tcPr>
            <w:tcW w:w="4107"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pPr>
            <w:r>
              <w:rPr/>
              <w:t xml:space="preserve">By: </w:t>
            </w:r>
          </w:p>
        </w:tc>
        <w:tc>
          <w:tcPr>
            <w:tcW w:w="4107" w:type="dxa"/>
            <w:gridSpan w:val="2"/>
            <w:tcBorders>
              <w:bottom w:val="single" w:sz="8" w:space="0" w:color="000000"/>
            </w:tcBorders>
            <w:tcMar>
              <w:bottom w:w="28" w:type="dxa"/>
            </w:tcMar>
            <w:vAlign w:val="center"/>
          </w:tcPr>
          <w:p>
            <w:pPr>
              <w:pStyle w:val="TableContents"/>
              <w:bidi w:val="0"/>
              <w:spacing w:before="0" w:after="283"/>
              <w:jc w:val="left"/>
              <w:rPr/>
            </w:pPr>
            <w:r>
              <w:rPr/>
              <w:t>/s/ Jonathan H. Cohen</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Name:</w:t>
            </w:r>
          </w:p>
        </w:tc>
        <w:tc>
          <w:tcPr>
            <w:tcW w:w="3202" w:type="dxa"/>
            <w:tcBorders/>
            <w:vAlign w:val="center"/>
          </w:tcPr>
          <w:p>
            <w:pPr>
              <w:pStyle w:val="TableContents"/>
              <w:bidi w:val="0"/>
              <w:spacing w:before="0" w:after="283"/>
              <w:jc w:val="left"/>
              <w:rPr/>
            </w:pPr>
            <w:r>
              <w:rPr/>
              <w:t>Jonathan H. Cohen</w:t>
            </w:r>
          </w:p>
        </w:tc>
      </w:tr>
      <w:tr>
        <w:trPr/>
        <w:tc>
          <w:tcPr>
            <w:tcW w:w="75" w:type="dxa"/>
            <w:tcBorders/>
            <w:vAlign w:val="center"/>
          </w:tcPr>
          <w:p>
            <w:pPr>
              <w:pStyle w:val="TableContents"/>
              <w:bidi w:val="0"/>
              <w:spacing w:before="0" w:after="283"/>
              <w:jc w:val="left"/>
              <w:rPr/>
            </w:pPr>
            <w:r>
              <w:rPr/>
              <w:t> </w:t>
            </w:r>
          </w:p>
        </w:tc>
        <w:tc>
          <w:tcPr>
            <w:tcW w:w="59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pPr>
            <w:r>
              <w:rPr/>
              <w:t>Title:</w:t>
            </w:r>
          </w:p>
        </w:tc>
        <w:tc>
          <w:tcPr>
            <w:tcW w:w="3202"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015" w:type="dxa"/>
        <w:jc w:val="left"/>
        <w:tblInd w:w="0" w:type="dxa"/>
        <w:tblLayout w:type="fixed"/>
        <w:tblCellMar>
          <w:top w:w="0" w:type="dxa"/>
          <w:left w:w="0" w:type="dxa"/>
          <w:bottom w:w="0" w:type="dxa"/>
          <w:right w:w="0" w:type="dxa"/>
        </w:tblCellMar>
      </w:tblPr>
      <w:tblGrid>
        <w:gridCol w:w="75"/>
        <w:gridCol w:w="425"/>
        <w:gridCol w:w="650"/>
        <w:gridCol w:w="1865"/>
      </w:tblGrid>
      <w:tr>
        <w:trPr/>
        <w:tc>
          <w:tcPr>
            <w:tcW w:w="75" w:type="dxa"/>
            <w:tcBorders/>
            <w:vAlign w:val="center"/>
          </w:tcPr>
          <w:p>
            <w:pPr>
              <w:pStyle w:val="TableContents"/>
              <w:bidi w:val="0"/>
              <w:spacing w:before="0" w:after="283"/>
              <w:jc w:val="left"/>
              <w:rPr/>
            </w:pPr>
            <w:r>
              <w:rPr/>
              <w:t> </w:t>
            </w:r>
          </w:p>
        </w:tc>
        <w:tc>
          <w:tcPr>
            <w:tcW w:w="2940" w:type="dxa"/>
            <w:gridSpan w:val="3"/>
            <w:tcBorders/>
            <w:vAlign w:val="center"/>
          </w:tcPr>
          <w:p>
            <w:pPr>
              <w:pStyle w:val="TableContents"/>
              <w:bidi w:val="0"/>
              <w:spacing w:before="0" w:after="283"/>
              <w:jc w:val="left"/>
              <w:rPr>
                <w:b/>
              </w:rPr>
            </w:pPr>
            <w:r>
              <w:rPr>
                <w:b/>
              </w:rPr>
              <w:t>OXFORD FUNDS, LLC</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251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xml:space="preserve">By: </w:t>
            </w:r>
          </w:p>
        </w:tc>
        <w:tc>
          <w:tcPr>
            <w:tcW w:w="2515" w:type="dxa"/>
            <w:gridSpan w:val="2"/>
            <w:tcBorders>
              <w:bottom w:val="single" w:sz="8" w:space="0" w:color="000000"/>
            </w:tcBorders>
            <w:tcMar>
              <w:bottom w:w="28" w:type="dxa"/>
            </w:tcMar>
            <w:vAlign w:val="center"/>
          </w:tcPr>
          <w:p>
            <w:pPr>
              <w:pStyle w:val="TableContents"/>
              <w:bidi w:val="0"/>
              <w:spacing w:before="0" w:after="283"/>
              <w:jc w:val="left"/>
              <w:rPr/>
            </w:pPr>
            <w:r>
              <w:rPr/>
              <w:t>/s/ Jonathan H. Cohen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Name:</w:t>
            </w:r>
          </w:p>
        </w:tc>
        <w:tc>
          <w:tcPr>
            <w:tcW w:w="1865" w:type="dxa"/>
            <w:tcBorders/>
            <w:vAlign w:val="center"/>
          </w:tcPr>
          <w:p>
            <w:pPr>
              <w:pStyle w:val="TableContents"/>
              <w:bidi w:val="0"/>
              <w:spacing w:before="0" w:after="283"/>
              <w:jc w:val="left"/>
              <w:rPr/>
            </w:pPr>
            <w:r>
              <w:rPr/>
              <w:t>Jonathan H. Cohen</w:t>
            </w:r>
          </w:p>
        </w:tc>
      </w:tr>
      <w:tr>
        <w:trPr/>
        <w:tc>
          <w:tcPr>
            <w:tcW w:w="7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pPr>
            <w:r>
              <w:rPr/>
              <w:t>Title:</w:t>
            </w:r>
          </w:p>
        </w:tc>
        <w:tc>
          <w:tcPr>
            <w:tcW w:w="1865" w:type="dxa"/>
            <w:tcBorders/>
            <w:vAlign w:val="center"/>
          </w:tcPr>
          <w:p>
            <w:pPr>
              <w:pStyle w:val="TableContents"/>
              <w:bidi w:val="0"/>
              <w:spacing w:before="0" w:after="283"/>
              <w:jc w:val="left"/>
              <w:rPr/>
            </w:pPr>
            <w:r>
              <w:rPr/>
              <w:t>Managing Member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CONFIRMED AND ACCEPTED, as of</w:t>
        <w:br/>
        <w:t>the date first above written:</w:t>
      </w:r>
    </w:p>
    <w:p>
      <w:pPr>
        <w:pStyle w:val="TextBody"/>
        <w:bidi w:val="0"/>
        <w:spacing w:before="0" w:after="0"/>
        <w:jc w:val="left"/>
        <w:rPr>
          <w:caps w:val="false"/>
          <w:smallCaps w:val="false"/>
        </w:rPr>
      </w:pPr>
      <w:r>
        <w:rPr>
          <w:caps w:val="false"/>
          <w:smallCaps w:val="false"/>
        </w:rPr>
        <w:t> </w:t>
      </w:r>
    </w:p>
    <w:tbl>
      <w:tblPr>
        <w:tblW w:w="4053" w:type="dxa"/>
        <w:jc w:val="left"/>
        <w:tblInd w:w="0" w:type="dxa"/>
        <w:tblLayout w:type="fixed"/>
        <w:tblCellMar>
          <w:top w:w="0" w:type="dxa"/>
          <w:left w:w="0" w:type="dxa"/>
          <w:bottom w:w="0" w:type="dxa"/>
          <w:right w:w="0" w:type="dxa"/>
        </w:tblCellMar>
      </w:tblPr>
      <w:tblGrid>
        <w:gridCol w:w="530"/>
        <w:gridCol w:w="907"/>
        <w:gridCol w:w="2541"/>
        <w:gridCol w:w="75"/>
      </w:tblGrid>
      <w:tr>
        <w:trPr/>
        <w:tc>
          <w:tcPr>
            <w:tcW w:w="3978" w:type="dxa"/>
            <w:gridSpan w:val="3"/>
            <w:tcBorders/>
            <w:vAlign w:val="center"/>
          </w:tcPr>
          <w:p>
            <w:pPr>
              <w:pStyle w:val="TableContents"/>
              <w:bidi w:val="0"/>
              <w:spacing w:before="0" w:after="283"/>
              <w:jc w:val="left"/>
              <w:rPr>
                <w:b/>
              </w:rPr>
            </w:pPr>
            <w:r>
              <w:rPr>
                <w:b/>
              </w:rPr>
              <w:t>LUCID CAPITAL MARKETS, LLC.</w:t>
            </w:r>
          </w:p>
        </w:tc>
        <w:tc>
          <w:tcPr>
            <w:tcW w:w="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3448"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By:</w:t>
            </w:r>
          </w:p>
        </w:tc>
        <w:tc>
          <w:tcPr>
            <w:tcW w:w="3448" w:type="dxa"/>
            <w:gridSpan w:val="2"/>
            <w:tcBorders>
              <w:bottom w:val="single" w:sz="8" w:space="0" w:color="000000"/>
            </w:tcBorders>
            <w:tcMar>
              <w:bottom w:w="28" w:type="dxa"/>
            </w:tcMar>
            <w:vAlign w:val="center"/>
          </w:tcPr>
          <w:p>
            <w:pPr>
              <w:pStyle w:val="TableContents"/>
              <w:bidi w:val="0"/>
              <w:spacing w:before="0" w:after="283"/>
              <w:jc w:val="left"/>
              <w:rPr/>
            </w:pPr>
            <w:r>
              <w:rPr/>
              <w:t>/s/ Jeffrey Caliva</w:t>
            </w:r>
          </w:p>
        </w:tc>
        <w:tc>
          <w:tcPr>
            <w:tcW w:w="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Name:</w:t>
            </w:r>
          </w:p>
        </w:tc>
        <w:tc>
          <w:tcPr>
            <w:tcW w:w="2541" w:type="dxa"/>
            <w:tcBorders/>
            <w:vAlign w:val="center"/>
          </w:tcPr>
          <w:p>
            <w:pPr>
              <w:pStyle w:val="TableContents"/>
              <w:bidi w:val="0"/>
              <w:spacing w:before="0" w:after="283"/>
              <w:jc w:val="left"/>
              <w:rPr/>
            </w:pPr>
            <w:r>
              <w:rPr/>
              <w:t>Jeffrey Caliva</w:t>
            </w:r>
          </w:p>
        </w:tc>
        <w:tc>
          <w:tcPr>
            <w:tcW w:w="75" w:type="dxa"/>
            <w:tcBorders/>
            <w:vAlign w:val="center"/>
          </w:tcPr>
          <w:p>
            <w:pPr>
              <w:pStyle w:val="TableContents"/>
              <w:bidi w:val="0"/>
              <w:spacing w:before="0" w:after="283"/>
              <w:jc w:val="left"/>
              <w:rPr/>
            </w:pPr>
            <w:r>
              <w:rPr/>
              <w:t> </w:t>
            </w:r>
          </w:p>
        </w:tc>
      </w:tr>
      <w:tr>
        <w:trPr/>
        <w:tc>
          <w:tcPr>
            <w:tcW w:w="530"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left"/>
              <w:rPr/>
            </w:pPr>
            <w:r>
              <w:rPr/>
              <w:t>Title:</w:t>
            </w:r>
          </w:p>
        </w:tc>
        <w:tc>
          <w:tcPr>
            <w:tcW w:w="2541" w:type="dxa"/>
            <w:tcBorders/>
            <w:vAlign w:val="center"/>
          </w:tcPr>
          <w:p>
            <w:pPr>
              <w:pStyle w:val="TableContents"/>
              <w:bidi w:val="0"/>
              <w:spacing w:before="0" w:after="283"/>
              <w:jc w:val="left"/>
              <w:rPr/>
            </w:pPr>
            <w:r>
              <w:rPr/>
              <w:t>Managing Director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503" w:type="dxa"/>
        <w:jc w:val="left"/>
        <w:tblInd w:w="0" w:type="dxa"/>
        <w:tblLayout w:type="fixed"/>
        <w:tblCellMar>
          <w:top w:w="0" w:type="dxa"/>
          <w:left w:w="0" w:type="dxa"/>
          <w:bottom w:w="0" w:type="dxa"/>
          <w:right w:w="0" w:type="dxa"/>
        </w:tblCellMar>
      </w:tblPr>
      <w:tblGrid>
        <w:gridCol w:w="406"/>
        <w:gridCol w:w="695"/>
        <w:gridCol w:w="3327"/>
        <w:gridCol w:w="75"/>
      </w:tblGrid>
      <w:tr>
        <w:trPr/>
        <w:tc>
          <w:tcPr>
            <w:tcW w:w="4428" w:type="dxa"/>
            <w:gridSpan w:val="3"/>
            <w:tcBorders/>
            <w:vAlign w:val="center"/>
          </w:tcPr>
          <w:p>
            <w:pPr>
              <w:pStyle w:val="TableContents"/>
              <w:bidi w:val="0"/>
              <w:spacing w:before="0" w:after="283"/>
              <w:jc w:val="left"/>
              <w:rPr>
                <w:b/>
              </w:rPr>
            </w:pPr>
            <w:r>
              <w:rPr>
                <w:b/>
              </w:rPr>
              <w:t>LADENBURG THALMANN &amp; CO. INC.</w:t>
            </w:r>
          </w:p>
        </w:tc>
        <w:tc>
          <w:tcPr>
            <w:tcW w:w="75" w:type="dxa"/>
            <w:tcBorders/>
            <w:vAlign w:val="center"/>
          </w:tcPr>
          <w:p>
            <w:pPr>
              <w:pStyle w:val="TableContents"/>
              <w:bidi w:val="0"/>
              <w:spacing w:before="0" w:after="283"/>
              <w:jc w:val="left"/>
              <w:rPr/>
            </w:pPr>
            <w:r>
              <w:rPr/>
              <w:t> </w:t>
            </w:r>
          </w:p>
        </w:tc>
      </w:tr>
      <w:tr>
        <w:trPr/>
        <w:tc>
          <w:tcPr>
            <w:tcW w:w="406" w:type="dxa"/>
            <w:tcBorders/>
            <w:vAlign w:val="center"/>
          </w:tcPr>
          <w:p>
            <w:pPr>
              <w:pStyle w:val="TableContents"/>
              <w:bidi w:val="0"/>
              <w:spacing w:before="0" w:after="283"/>
              <w:jc w:val="left"/>
              <w:rPr/>
            </w:pPr>
            <w:r>
              <w:rPr/>
              <w:t> </w:t>
            </w:r>
          </w:p>
        </w:tc>
        <w:tc>
          <w:tcPr>
            <w:tcW w:w="4022"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6" w:type="dxa"/>
            <w:tcBorders/>
            <w:vAlign w:val="center"/>
          </w:tcPr>
          <w:p>
            <w:pPr>
              <w:pStyle w:val="TableContents"/>
              <w:bidi w:val="0"/>
              <w:spacing w:before="0" w:after="283"/>
              <w:jc w:val="left"/>
              <w:rPr/>
            </w:pPr>
            <w:r>
              <w:rPr/>
              <w:t>By:</w:t>
            </w:r>
          </w:p>
        </w:tc>
        <w:tc>
          <w:tcPr>
            <w:tcW w:w="4022" w:type="dxa"/>
            <w:gridSpan w:val="2"/>
            <w:tcBorders>
              <w:bottom w:val="single" w:sz="8" w:space="0" w:color="000000"/>
            </w:tcBorders>
            <w:tcMar>
              <w:bottom w:w="28" w:type="dxa"/>
            </w:tcMar>
            <w:vAlign w:val="center"/>
          </w:tcPr>
          <w:p>
            <w:pPr>
              <w:pStyle w:val="TableContents"/>
              <w:bidi w:val="0"/>
              <w:spacing w:before="0" w:after="283"/>
              <w:jc w:val="left"/>
              <w:rPr/>
            </w:pPr>
            <w:r>
              <w:rPr/>
              <w:t>/s/ Dan Blood</w:t>
            </w:r>
          </w:p>
        </w:tc>
        <w:tc>
          <w:tcPr>
            <w:tcW w:w="75" w:type="dxa"/>
            <w:tcBorders/>
            <w:vAlign w:val="center"/>
          </w:tcPr>
          <w:p>
            <w:pPr>
              <w:pStyle w:val="TableContents"/>
              <w:bidi w:val="0"/>
              <w:spacing w:before="0" w:after="283"/>
              <w:jc w:val="left"/>
              <w:rPr/>
            </w:pPr>
            <w:r>
              <w:rPr/>
              <w:t> </w:t>
            </w:r>
          </w:p>
        </w:tc>
      </w:tr>
      <w:tr>
        <w:trPr/>
        <w:tc>
          <w:tcPr>
            <w:tcW w:w="406"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Name:</w:t>
            </w:r>
          </w:p>
        </w:tc>
        <w:tc>
          <w:tcPr>
            <w:tcW w:w="3327" w:type="dxa"/>
            <w:tcBorders/>
            <w:vAlign w:val="center"/>
          </w:tcPr>
          <w:p>
            <w:pPr>
              <w:pStyle w:val="TableContents"/>
              <w:bidi w:val="0"/>
              <w:spacing w:before="0" w:after="283"/>
              <w:jc w:val="left"/>
              <w:rPr/>
            </w:pPr>
            <w:r>
              <w:rPr/>
              <w:t>Dan Blood</w:t>
            </w:r>
          </w:p>
        </w:tc>
        <w:tc>
          <w:tcPr>
            <w:tcW w:w="75" w:type="dxa"/>
            <w:tcBorders/>
            <w:vAlign w:val="center"/>
          </w:tcPr>
          <w:p>
            <w:pPr>
              <w:pStyle w:val="TableContents"/>
              <w:bidi w:val="0"/>
              <w:spacing w:before="0" w:after="283"/>
              <w:jc w:val="left"/>
              <w:rPr/>
            </w:pPr>
            <w:r>
              <w:rPr/>
              <w:t> </w:t>
            </w:r>
          </w:p>
        </w:tc>
      </w:tr>
      <w:tr>
        <w:trPr/>
        <w:tc>
          <w:tcPr>
            <w:tcW w:w="406"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Title:</w:t>
            </w:r>
          </w:p>
        </w:tc>
        <w:tc>
          <w:tcPr>
            <w:tcW w:w="3327" w:type="dxa"/>
            <w:tcBorders/>
            <w:vAlign w:val="center"/>
          </w:tcPr>
          <w:p>
            <w:pPr>
              <w:pStyle w:val="TableContents"/>
              <w:bidi w:val="0"/>
              <w:spacing w:before="0" w:after="283"/>
              <w:jc w:val="left"/>
              <w:rPr/>
            </w:pPr>
            <w:r>
              <w:rPr/>
              <w:t>Co-Head of Investment Banking</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Amendment No. 1 to Amended and Restated Equity Distribution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028937101_ex5-1.htm"/>
      <w:bookmarkStart w:id="32" w:name="ksea028937101_ex51"/>
      <w:bookmarkEnd w:id="31"/>
      <w:bookmarkEnd w:id="32"/>
      <w:r>
        <w:rPr>
          <w:rFonts w:ascii="Times New Roman;Times;Serif" w:hAnsi="Times New Roman;Times;Serif"/>
          <w:b/>
          <w:i w:val="false"/>
          <w:caps w:val="false"/>
          <w:smallCaps w:val="false"/>
          <w:sz w:val="20"/>
        </w:rPr>
        <w:t>Exhibit 5.1</w:t>
      </w:r>
      <w:r>
        <w:br w:type="page"/>
      </w:r>
    </w:p>
    <w:p>
      <w:pPr>
        <w:pStyle w:val="TextBody"/>
        <w:bidi w:val="0"/>
        <w:spacing w:before="0" w:after="0"/>
        <w:ind w:left="0" w:right="0" w:hanging="0"/>
        <w:jc w:val="right"/>
        <w:rPr>
          <w:caps w:val="false"/>
          <w:smallCaps w:val="false"/>
        </w:rPr>
      </w:pPr>
      <w:r>
        <w:rPr>
          <w:caps w:val="false"/>
          <w:smallCaps w:val="false"/>
        </w:rPr>
        <w:t> </w:t>
      </w:r>
    </w:p>
    <w:tbl>
      <w:tblPr>
        <w:tblW w:w="3785" w:type="dxa"/>
        <w:jc w:val="left"/>
        <w:tblInd w:w="0" w:type="dxa"/>
        <w:tblLayout w:type="fixed"/>
        <w:tblCellMar>
          <w:top w:w="0" w:type="dxa"/>
          <w:left w:w="0" w:type="dxa"/>
          <w:bottom w:w="0" w:type="dxa"/>
          <w:right w:w="0" w:type="dxa"/>
        </w:tblCellMar>
      </w:tblPr>
      <w:tblGrid>
        <w:gridCol w:w="1350"/>
        <w:gridCol w:w="2435"/>
      </w:tblGrid>
      <w:tr>
        <w:trPr/>
        <w:tc>
          <w:tcPr>
            <w:tcW w:w="1350" w:type="dxa"/>
            <w:tcBorders/>
            <w:vAlign w:val="center"/>
          </w:tcPr>
          <w:p>
            <w:pPr>
              <w:pStyle w:val="TableContents"/>
              <w:bidi w:val="0"/>
              <w:spacing w:before="0" w:after="283"/>
              <w:jc w:val="left"/>
              <w:rPr/>
            </w:pPr>
            <w:r>
              <w:rPr/>
              <w:drawing>
                <wp:inline distT="0" distB="0" distL="0" distR="0">
                  <wp:extent cx="847725" cy="771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47725" cy="771525"/>
                          </a:xfrm>
                          <a:prstGeom prst="rect">
                            <a:avLst/>
                          </a:prstGeom>
                        </pic:spPr>
                      </pic:pic>
                    </a:graphicData>
                  </a:graphic>
                </wp:inline>
              </w:drawing>
            </w:r>
          </w:p>
        </w:tc>
        <w:tc>
          <w:tcPr>
            <w:tcW w:w="243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1900 K Street, NW</w:t>
              <w:br/>
              <w:t>Washington, DC 20006-1110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3300 Main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+1 202 261 3333 Fax</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www.dechert.com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Oxford Square Capital Corp.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Sound Shore Drive, Suite 255</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Greenwich, Connecticut 06830</w:t>
      </w:r>
    </w:p>
    <w:p>
      <w:pPr>
        <w:pStyle w:val="TextBody"/>
        <w:bidi w:val="0"/>
        <w:spacing w:before="0" w:after="0"/>
        <w:ind w:left="0" w:right="0" w:hanging="0"/>
        <w:jc w:val="left"/>
        <w:rPr>
          <w:caps w:val="false"/>
          <w:smallCaps w:val="false"/>
        </w:rPr>
      </w:pPr>
      <w:r>
        <w:rPr>
          <w:caps w:val="false"/>
          <w:smallCaps w:val="false"/>
        </w:rPr>
        <w:t> </w:t>
      </w:r>
    </w:p>
    <w:tbl>
      <w:tblPr>
        <w:tblW w:w="2725" w:type="dxa"/>
        <w:jc w:val="left"/>
        <w:tblInd w:w="0" w:type="dxa"/>
        <w:tblLayout w:type="fixed"/>
        <w:tblCellMar>
          <w:top w:w="0" w:type="dxa"/>
          <w:left w:w="0" w:type="dxa"/>
          <w:bottom w:w="0" w:type="dxa"/>
          <w:right w:w="0" w:type="dxa"/>
        </w:tblCellMar>
      </w:tblPr>
      <w:tblGrid>
        <w:gridCol w:w="75"/>
        <w:gridCol w:w="305"/>
        <w:gridCol w:w="234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sz w:val="20"/>
              </w:rPr>
            </w:pPr>
            <w:r>
              <w:rPr>
                <w:sz w:val="20"/>
              </w:rPr>
              <w:t>Re:</w:t>
            </w:r>
          </w:p>
        </w:tc>
        <w:tc>
          <w:tcPr>
            <w:tcW w:w="2345" w:type="dxa"/>
            <w:tcBorders/>
            <w:vAlign w:val="center"/>
          </w:tcPr>
          <w:p>
            <w:pPr>
              <w:pStyle w:val="TableContents"/>
              <w:bidi w:val="0"/>
              <w:spacing w:before="0" w:after="283"/>
              <w:jc w:val="both"/>
              <w:rPr>
                <w:sz w:val="20"/>
                <w:u w:val="single"/>
              </w:rPr>
            </w:pPr>
            <w:r>
              <w:rPr>
                <w:sz w:val="20"/>
                <w:u w:val="single"/>
              </w:rPr>
              <w:t>Oxford Square Capital Corp.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Oxford Square Capital Corp., a Maryland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in connection with the preparation and filing of a Registration Statement on Form N-2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as originally declared effective on April 29, 2026, by the U.S.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the prospectus supplement, dated May 5, 2026, as supplemented by the prospectus supplements filed from time to time thereafter relating to the Shares (as defined below) (the “</w:t>
      </w:r>
      <w:r>
        <w:rPr>
          <w:rFonts w:ascii="Times New Roman;Times;Serif" w:hAnsi="Times New Roman;Times;Serif"/>
          <w:b w:val="false"/>
          <w:i w:val="false"/>
          <w:caps w:val="false"/>
          <w:smallCaps w:val="false"/>
          <w:sz w:val="20"/>
          <w:u w:val="single"/>
        </w:rPr>
        <w:t>Prospectus Supplement</w:t>
      </w:r>
      <w:r>
        <w:rPr>
          <w:rFonts w:ascii="Times New Roman;Times;Serif" w:hAnsi="Times New Roman;Times;Serif"/>
          <w:b w:val="false"/>
          <w:i w:val="false"/>
          <w:caps w:val="false"/>
          <w:smallCaps w:val="false"/>
          <w:sz w:val="20"/>
        </w:rPr>
        <w:t>” and, together with the base prospectus, dated as of April 29, 2026, included in the Registration Statement, the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in connection with the proposed issuance by the Company of shares of common stock, par value $0.01 per share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of the Company with an aggregate offering price of up to $150,000,000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(which amount includes all Shares of Common Stock previously sold pursuant to the Equity Distribution Agreement dated as of August 1, 2019, as amended pursuant to that certain Amendment No. 1, dated as of August 22, 2023, and the Amended and Restated Equity Distribution Agreement, dated August 16, 2024), filed with the Commission pursuant to Rule 424 and Rule 430B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opinion letter is being furnished to the Company in accordance with the requirements of Item 25 of Form N-2 under the Securities Act, and no opinion is expressed herein as to any matter other than as to the legality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rendering the opinions expressed below, we have examined and relied on originals or copies, certified or otherwise identified to our satisfaction, of such documents, corporate records and other instruments,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pStyle w:val="TextBody"/>
        <w:bidi w:val="0"/>
        <w:spacing w:before="0" w:after="0"/>
        <w:ind w:left="0" w:right="0" w:hanging="0"/>
        <w:jc w:val="both"/>
        <w:rPr>
          <w:caps w:val="false"/>
          <w:smallCaps w:val="false"/>
        </w:rPr>
      </w:pPr>
      <w:r>
        <w:rPr>
          <w:caps w:val="false"/>
          <w:smallCaps w:val="false"/>
        </w:rPr>
        <w:t> </w:t>
      </w:r>
    </w:p>
    <w:tbl>
      <w:tblPr>
        <w:tblW w:w="2838" w:type="dxa"/>
        <w:jc w:val="left"/>
        <w:tblInd w:w="0" w:type="dxa"/>
        <w:tblLayout w:type="fixed"/>
        <w:tblCellMar>
          <w:top w:w="0" w:type="dxa"/>
          <w:left w:w="0" w:type="dxa"/>
          <w:bottom w:w="0" w:type="dxa"/>
          <w:right w:w="0" w:type="dxa"/>
        </w:tblCellMar>
      </w:tblPr>
      <w:tblGrid>
        <w:gridCol w:w="38"/>
        <w:gridCol w:w="230"/>
        <w:gridCol w:w="257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(i)</w:t>
            </w:r>
          </w:p>
        </w:tc>
        <w:tc>
          <w:tcPr>
            <w:tcW w:w="2570" w:type="dxa"/>
            <w:tcBorders/>
            <w:vAlign w:val="center"/>
          </w:tcPr>
          <w:p>
            <w:pPr>
              <w:pStyle w:val="TableContents"/>
              <w:bidi w:val="0"/>
              <w:spacing w:before="0" w:after="283"/>
              <w:jc w:val="both"/>
              <w:rPr/>
            </w:pPr>
            <w:r>
              <w:rPr/>
              <w:t>the Registration Statement;</w:t>
            </w:r>
          </w:p>
        </w:tc>
      </w:tr>
    </w:tbl>
    <w:p>
      <w:pPr>
        <w:pStyle w:val="TextBody"/>
        <w:bidi w:val="0"/>
        <w:spacing w:before="0" w:after="0"/>
        <w:ind w:left="90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1"/>
        <w:gridCol w:w="9906"/>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pPr>
            <w:r>
              <w:rPr/>
              <w:t>(ii)</w:t>
            </w:r>
          </w:p>
        </w:tc>
        <w:tc>
          <w:tcPr>
            <w:tcW w:w="9906" w:type="dxa"/>
            <w:tcBorders/>
            <w:vAlign w:val="center"/>
          </w:tcPr>
          <w:p>
            <w:pPr>
              <w:pStyle w:val="TableContents"/>
              <w:bidi w:val="0"/>
              <w:spacing w:before="0" w:after="283"/>
              <w:jc w:val="both"/>
              <w:rPr/>
            </w:pPr>
            <w:r>
              <w:rPr/>
              <w:t>the Articles of Incorporation of the Company, as amended by the Articles of Amendment thereto, certified as of a recent date by the Secretary of the Company;</w:t>
            </w:r>
          </w:p>
        </w:tc>
      </w:tr>
    </w:tbl>
    <w:p>
      <w:pPr>
        <w:pStyle w:val="TextBody"/>
        <w:bidi w:val="0"/>
        <w:spacing w:before="0" w:after="0"/>
        <w:ind w:left="90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7"/>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pPr>
            <w:r>
              <w:rPr/>
              <w:t>(iii)</w:t>
            </w:r>
          </w:p>
        </w:tc>
        <w:tc>
          <w:tcPr>
            <w:tcW w:w="9830" w:type="dxa"/>
            <w:tcBorders/>
            <w:vAlign w:val="center"/>
          </w:tcPr>
          <w:p>
            <w:pPr>
              <w:pStyle w:val="TableContents"/>
              <w:bidi w:val="0"/>
              <w:spacing w:before="0" w:after="283"/>
              <w:jc w:val="both"/>
              <w:rPr/>
            </w:pPr>
            <w:r>
              <w:rPr/>
              <w:t>the Fourth Amended and Restated Bylaws of the Company, certified as of a recent date by the Secretary of the Company;</w:t>
            </w:r>
          </w:p>
        </w:tc>
      </w:tr>
    </w:tbl>
    <w:p>
      <w:pPr>
        <w:pStyle w:val="TextBody"/>
        <w:bidi w:val="0"/>
        <w:spacing w:before="0" w:after="0"/>
        <w:ind w:left="900" w:right="0" w:hanging="540"/>
        <w:jc w:val="both"/>
        <w:rPr>
          <w:caps w:val="false"/>
          <w:smallCaps w:val="false"/>
        </w:rPr>
      </w:pPr>
      <w:r>
        <w:rPr>
          <w:caps w:val="false"/>
          <w:smallCaps w:val="false"/>
        </w:rPr>
        <w:t> </w:t>
      </w:r>
    </w:p>
    <w:tbl>
      <w:tblPr>
        <w:tblW w:w="5313" w:type="dxa"/>
        <w:jc w:val="left"/>
        <w:tblInd w:w="0" w:type="dxa"/>
        <w:tblLayout w:type="fixed"/>
        <w:tblCellMar>
          <w:top w:w="0" w:type="dxa"/>
          <w:left w:w="0" w:type="dxa"/>
          <w:bottom w:w="0" w:type="dxa"/>
          <w:right w:w="0" w:type="dxa"/>
        </w:tblCellMar>
      </w:tblPr>
      <w:tblGrid>
        <w:gridCol w:w="38"/>
        <w:gridCol w:w="350"/>
        <w:gridCol w:w="492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pPr>
            <w:r>
              <w:rPr/>
              <w:t>(iv)</w:t>
            </w:r>
          </w:p>
        </w:tc>
        <w:tc>
          <w:tcPr>
            <w:tcW w:w="4925" w:type="dxa"/>
            <w:tcBorders/>
            <w:vAlign w:val="center"/>
          </w:tcPr>
          <w:p>
            <w:pPr>
              <w:pStyle w:val="TableContents"/>
              <w:bidi w:val="0"/>
              <w:spacing w:before="0" w:after="283"/>
              <w:jc w:val="both"/>
              <w:rPr/>
            </w:pPr>
            <w:r>
              <w:rPr/>
              <w:t>a form of certificate evidencing the Common Stock;</w:t>
            </w:r>
          </w:p>
        </w:tc>
      </w:tr>
    </w:tbl>
    <w:p>
      <w:pPr>
        <w:pStyle w:val="TextBody"/>
        <w:bidi w:val="0"/>
        <w:spacing w:before="0" w:after="0"/>
        <w:ind w:left="90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6"/>
        <w:gridCol w:w="9931"/>
      </w:tblGrid>
      <w:tr>
        <w:trPr/>
        <w:tc>
          <w:tcPr>
            <w:tcW w:w="38"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pPr>
            <w:r>
              <w:rPr/>
              <w:t>(v)</w:t>
            </w:r>
          </w:p>
        </w:tc>
        <w:tc>
          <w:tcPr>
            <w:tcW w:w="9931" w:type="dxa"/>
            <w:tcBorders/>
            <w:vAlign w:val="center"/>
          </w:tcPr>
          <w:p>
            <w:pPr>
              <w:pStyle w:val="TableContents"/>
              <w:bidi w:val="0"/>
              <w:spacing w:before="0" w:after="283"/>
              <w:jc w:val="both"/>
              <w:rPr/>
            </w:pPr>
            <w:r>
              <w:rPr/>
              <w:t>the Amended and Restated Equity Distribution Agreement by and among the Company, Oxford Square Management, LLC, Oxford Funds, LLC, Lucid Capital Markets, LLC and Ladenburg Thalmann &amp; Co. Inc., dated as of August 16, 2024, as amended by Amendment No. 1, dated as of May 5, 2026 (the “</w:t>
            </w:r>
            <w:r>
              <w:rPr>
                <w:u w:val="single"/>
              </w:rPr>
              <w:t>Distribution Agreement</w:t>
            </w:r>
            <w:r>
              <w:rPr/>
              <w:t>”);</w:t>
            </w:r>
          </w:p>
        </w:tc>
      </w:tr>
    </w:tbl>
    <w:p>
      <w:pPr>
        <w:pStyle w:val="TextBody"/>
        <w:bidi w:val="0"/>
        <w:spacing w:before="0" w:after="0"/>
        <w:ind w:left="900" w:right="0" w:hanging="54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900" w:right="0" w:hanging="540"/>
        <w:jc w:val="both"/>
        <w:rPr>
          <w:caps w:val="false"/>
          <w:smallCaps w:val="false"/>
        </w:rPr>
      </w:pPr>
      <w:r>
        <w:rPr>
          <w:caps w:val="false"/>
          <w:smallCaps w:val="false"/>
        </w:rPr>
        <w:t> </w:t>
      </w:r>
    </w:p>
    <w:tbl>
      <w:tblPr>
        <w:tblW w:w="2660" w:type="dxa"/>
        <w:jc w:val="left"/>
        <w:tblInd w:w="0" w:type="dxa"/>
        <w:tblLayout w:type="fixed"/>
        <w:tblCellMar>
          <w:top w:w="0" w:type="dxa"/>
          <w:left w:w="0" w:type="dxa"/>
          <w:bottom w:w="0" w:type="dxa"/>
          <w:right w:w="0" w:type="dxa"/>
        </w:tblCellMar>
      </w:tblPr>
      <w:tblGrid>
        <w:gridCol w:w="1410"/>
        <w:gridCol w:w="1250"/>
      </w:tblGrid>
      <w:tr>
        <w:trPr/>
        <w:tc>
          <w:tcPr>
            <w:tcW w:w="1410" w:type="dxa"/>
            <w:tcBorders/>
            <w:vAlign w:val="center"/>
          </w:tcPr>
          <w:p>
            <w:pPr>
              <w:pStyle w:val="TableContents"/>
              <w:bidi w:val="0"/>
              <w:spacing w:before="0" w:after="283"/>
              <w:jc w:val="left"/>
              <w:rPr/>
            </w:pPr>
            <w:r>
              <w:rPr/>
              <w:drawing>
                <wp:inline distT="0" distB="0" distL="0" distR="0">
                  <wp:extent cx="847725"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47725" cy="771525"/>
                          </a:xfrm>
                          <a:prstGeom prst="rect">
                            <a:avLst/>
                          </a:prstGeom>
                        </pic:spPr>
                      </pic:pic>
                    </a:graphicData>
                  </a:graphic>
                </wp:inline>
              </w:drawing>
            </w:r>
            <w:r>
              <w:rPr/>
              <w:t> </w:t>
            </w:r>
          </w:p>
        </w:tc>
        <w:tc>
          <w:tcPr>
            <w:tcW w:w="1250" w:type="dxa"/>
            <w:tcBorders/>
            <w:vAlign w:val="center"/>
          </w:tcPr>
          <w:p>
            <w:pPr>
              <w:pStyle w:val="TableContents"/>
              <w:bidi w:val="0"/>
              <w:spacing w:before="0" w:after="283"/>
              <w:jc w:val="right"/>
              <w:rPr/>
            </w:pPr>
            <w:r>
              <w:rPr/>
              <w:t>May 5, 2026</w:t>
              <w:br/>
              <w:t>Page 2</w:t>
            </w:r>
          </w:p>
        </w:tc>
      </w:tr>
    </w:tbl>
    <w:p>
      <w:pPr>
        <w:pStyle w:val="TextBody"/>
        <w:bidi w:val="0"/>
        <w:spacing w:before="0" w:after="0"/>
        <w:ind w:left="90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26"/>
        <w:gridCol w:w="9841"/>
      </w:tblGrid>
      <w:tr>
        <w:trPr/>
        <w:tc>
          <w:tcPr>
            <w:tcW w:w="3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pPr>
            <w:r>
              <w:rPr/>
              <w:t>(vi)</w:t>
            </w:r>
          </w:p>
        </w:tc>
        <w:tc>
          <w:tcPr>
            <w:tcW w:w="9841" w:type="dxa"/>
            <w:tcBorders/>
            <w:vAlign w:val="center"/>
          </w:tcPr>
          <w:p>
            <w:pPr>
              <w:pStyle w:val="TableContents"/>
              <w:bidi w:val="0"/>
              <w:spacing w:before="0" w:after="283"/>
              <w:jc w:val="both"/>
              <w:rPr/>
            </w:pPr>
            <w:r>
              <w:rPr/>
              <w:t>a certificate from SDAT as to the existence and good standing of the Company dated as of a recent date (the “Certificate of Good Standing”); and</w:t>
            </w:r>
          </w:p>
        </w:tc>
      </w:tr>
    </w:tbl>
    <w:p>
      <w:pPr>
        <w:pStyle w:val="TextBody"/>
        <w:bidi w:val="0"/>
        <w:spacing w:before="0" w:after="0"/>
        <w:ind w:left="900" w:right="0" w:hanging="5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1"/>
        <w:gridCol w:w="9816"/>
      </w:tblGrid>
      <w:tr>
        <w:trPr/>
        <w:tc>
          <w:tcPr>
            <w:tcW w:w="3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pPr>
            <w:r>
              <w:rPr/>
              <w:t>(vii)</w:t>
            </w:r>
          </w:p>
        </w:tc>
        <w:tc>
          <w:tcPr>
            <w:tcW w:w="9816" w:type="dxa"/>
            <w:tcBorders/>
            <w:vAlign w:val="center"/>
          </w:tcPr>
          <w:p>
            <w:pPr>
              <w:pStyle w:val="TableContents"/>
              <w:bidi w:val="0"/>
              <w:spacing w:before="0" w:after="283"/>
              <w:jc w:val="both"/>
              <w:rPr/>
            </w:pPr>
            <w:r>
              <w:rPr/>
              <w:t>resolutions of the board of directors of the Company (the “Board of Directors”), or a duly authorized committee thereof, relating to, among other things, the authorization and approval of (a) the preparation and filing of the Registration Statement and Prospectus, (b) preparation and execution of the Distribution Agreement, and (c) the authorization, issuance, offer and sale of the Shares pursuant to the Prospectus.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the facts upon which this opinion is based, we have relied, to the extent we deem proper, upon certificates of public officials and certificates and written statements of agents, officers, directors and representatives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examination, we have assumed the genuineness of all signatures, the authenticity of all documents submitted to us as original documents and the conformity to original documents of all documents submitted to us as copies. In addition, we have assumed (i) the legal capacity of all natural persons, (ii) the legal power and authority of all persons signing on behalf of the parties to such documents, and (iii) that the Certificate of Good Standing remains accurate and the Registration Statement remains effective at the time of the issuance and sale of the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assumptions, qualifications and limitations set forth in this letter, we are of the opinion that when (i) the Distribution Agreement has been duly executed and delivered by the parties thereto and (ii) the Shares are (a) duly issued and sold in connection with the offering against receipt by the Company of payment therefor at a price per Share not less than the par value per share of the Common Stock as contemplated by the Registration Statement and the Prospectus and in accordance with the terms of the Distribution Agreement, and (b) if applicable, countersigned by the transfer agent, the Shares will be validly issued, fully paid and nonassessable.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expressed herein are limited to the Maryland General Corporation Law and we do not express any opinion herein concerning any other law. We express no opinion as to the effect on the matters covered by this letter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assume no obligation to advise you of any changes in the foregoing subsequent to the date of this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reference to this firm under the caption “Legal Matters” in the Prospectus which forms a part of the Registration Statement. In giving such consent, we do not thereby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Dechert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2682</Words>
  <Characters>14264</Characters>
  <CharactersWithSpaces>16961</CharactersWithSpaces>
  <Paragraphs>350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