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ROSENTHAL SAUL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OXFORD SQUARE CAPITAL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SOUND SHORE DRIVE, SUITE 255</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Oxford Square Capital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OXSQ</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34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President and COO</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05/24/2022</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05/24/2022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jc w:val="center"/>
              <w:ind w:right="92"/>
              <w:spacing w:after="0"/>
              <w:rPr>
                <w:sz w:val="20"/>
                <w:szCs w:val="20"/>
                <w:color w:val="auto"/>
              </w:rPr>
            </w:pPr>
            <w:r>
              <w:rPr>
                <w:rFonts w:ascii="Times New Roman" w:cs="Times New Roman" w:eastAsia="Times New Roman" w:hAnsi="Times New Roman"/>
                <w:sz w:val="17"/>
                <w:szCs w:val="17"/>
                <w:color w:val="0000FF"/>
              </w:rPr>
              <w:t>4,206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3.991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1,539,977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05/25/2022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jc w:val="center"/>
              <w:ind w:right="152"/>
              <w:spacing w:after="0"/>
              <w:rPr>
                <w:sz w:val="20"/>
                <w:szCs w:val="20"/>
                <w:color w:val="auto"/>
              </w:rPr>
            </w:pPr>
            <w:r>
              <w:rPr>
                <w:rFonts w:ascii="Times New Roman" w:cs="Times New Roman" w:eastAsia="Times New Roman" w:hAnsi="Times New Roman"/>
                <w:sz w:val="17"/>
                <w:szCs w:val="17"/>
                <w:color w:val="0000FF"/>
              </w:rPr>
              <w:t>832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4</w:t>
            </w:r>
            <w:r>
              <w:rPr>
                <w:rFonts w:ascii="Times New Roman" w:cs="Times New Roman" w:eastAsia="Times New Roman" w:hAnsi="Times New Roman"/>
                <w:sz w:val="11"/>
                <w:szCs w:val="11"/>
                <w:color w:val="008000"/>
              </w:rPr>
              <w:t>(3)</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1,540,809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933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into a joint tenants in common account in which Mr. Rosenthal has a 50% pecuniary interest. The number of shares reported represents only Mr. Rosenthal's 50% pecuniary interest in such account. Jonathan H. Cohen, CEO and a director of the issuer, has a 50% pecuniary interest in such account.</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ranging from $3.97 to $4.00, inclusive. The reporting person undertakes to provide the Company, any security holder of the Company,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$4.00 each.</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Oxford Funds, LLC, which may be deemed to be beneficially owned by Mr. Rosenthal by virtue of his ownership interest therein.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Saul B. Rosenthal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05/26/2022</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8529" TargetMode="External"/><Relationship Id="rId13" Type="http://schemas.openxmlformats.org/officeDocument/2006/relationships/hyperlink" Target="http://www.sec.gov/cgi-bin/browse-edgar?action=getcompany&amp;CIK=0001259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2022-05-26T10:31:52Z</dcterms:created>
  <dcterms:modified xsi:type="dcterms:W3CDTF">2022-05-26T10:31:52Z</dcterms:modified>
</cp:coreProperties>
</file>